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10" w:rsidRPr="006C0038" w:rsidRDefault="002B750C">
      <w:pPr>
        <w:ind w:firstLine="644"/>
        <w:jc w:val="center"/>
        <w:rPr>
          <w:rFonts w:eastAsia="Calibri" w:cs="Times New Roman"/>
          <w:b/>
          <w:bCs/>
          <w:color w:val="000000"/>
          <w:sz w:val="24"/>
          <w:szCs w:val="24"/>
          <w:lang w:val="sr-Cyrl-RS"/>
        </w:rPr>
      </w:pPr>
      <w:r w:rsidRPr="006C0038">
        <w:rPr>
          <w:rFonts w:eastAsia="Calibri" w:cs="Times New Roman"/>
          <w:b/>
          <w:bCs/>
          <w:color w:val="000000"/>
          <w:sz w:val="24"/>
          <w:szCs w:val="24"/>
        </w:rPr>
        <w:t xml:space="preserve">ТЕХНИЧКА СПЕЦИФИКАЦИЈА </w:t>
      </w:r>
    </w:p>
    <w:p w:rsidR="00FC053B" w:rsidRPr="006C0038" w:rsidRDefault="00FC053B">
      <w:pPr>
        <w:ind w:firstLine="644"/>
        <w:jc w:val="center"/>
        <w:rPr>
          <w:rFonts w:eastAsia="Calibri" w:cs="Times New Roman"/>
          <w:b/>
          <w:bCs/>
          <w:color w:val="000000"/>
          <w:sz w:val="24"/>
          <w:szCs w:val="24"/>
          <w:lang w:val="sr-Cyrl-RS"/>
        </w:rPr>
      </w:pPr>
    </w:p>
    <w:p w:rsidR="00FC053B" w:rsidRPr="006C0038" w:rsidRDefault="00FC053B">
      <w:pPr>
        <w:ind w:firstLine="644"/>
        <w:jc w:val="center"/>
        <w:rPr>
          <w:rFonts w:cs="Times New Roman"/>
          <w:sz w:val="24"/>
          <w:szCs w:val="24"/>
          <w:lang w:val="sr-Cyrl-RS"/>
        </w:rPr>
      </w:pPr>
      <w:r w:rsidRPr="00DC34A5">
        <w:rPr>
          <w:rFonts w:eastAsia="Calibri" w:cs="Times New Roman"/>
          <w:b/>
          <w:bCs/>
          <w:color w:val="000000"/>
          <w:sz w:val="24"/>
          <w:szCs w:val="24"/>
          <w:lang w:val="sr-Cyrl-RS"/>
        </w:rPr>
        <w:t xml:space="preserve">ЈН број </w:t>
      </w:r>
      <w:r w:rsidR="00DC34A5" w:rsidRPr="00DC34A5">
        <w:rPr>
          <w:rFonts w:eastAsia="Calibri" w:cs="Times New Roman"/>
          <w:b/>
          <w:bCs/>
          <w:color w:val="000000"/>
          <w:sz w:val="24"/>
          <w:szCs w:val="24"/>
          <w:lang w:val="sr-Cyrl-RS"/>
        </w:rPr>
        <w:t>82</w:t>
      </w:r>
      <w:r w:rsidRPr="00DC34A5">
        <w:rPr>
          <w:rFonts w:eastAsia="Calibri" w:cs="Times New Roman"/>
          <w:b/>
          <w:bCs/>
          <w:color w:val="000000"/>
          <w:sz w:val="24"/>
          <w:szCs w:val="24"/>
          <w:lang w:val="sr-Cyrl-RS"/>
        </w:rPr>
        <w:t>/21</w:t>
      </w:r>
    </w:p>
    <w:p w:rsidR="004F7010" w:rsidRPr="006C0038" w:rsidRDefault="004F7010">
      <w:pPr>
        <w:ind w:firstLine="644"/>
        <w:rPr>
          <w:rFonts w:cs="Times New Roman"/>
          <w:sz w:val="24"/>
          <w:szCs w:val="24"/>
        </w:rPr>
      </w:pPr>
    </w:p>
    <w:p w:rsidR="00F0378E" w:rsidRPr="006C0038" w:rsidRDefault="002B750C" w:rsidP="00FC053B">
      <w:pPr>
        <w:ind w:left="737"/>
        <w:jc w:val="both"/>
        <w:rPr>
          <w:rFonts w:cs="Times New Roman"/>
          <w:bCs/>
          <w:color w:val="000000"/>
          <w:sz w:val="24"/>
          <w:szCs w:val="24"/>
          <w:lang w:val="sr-Cyrl-RS"/>
        </w:rPr>
      </w:pPr>
      <w:r w:rsidRPr="006C0038">
        <w:rPr>
          <w:rFonts w:cs="Times New Roman"/>
          <w:bCs/>
          <w:color w:val="000000"/>
          <w:sz w:val="24"/>
          <w:szCs w:val="24"/>
        </w:rPr>
        <w:t xml:space="preserve">Предмет јавне набавке је набавка радова </w:t>
      </w:r>
      <w:r w:rsidR="00FC053B" w:rsidRPr="006C0038">
        <w:rPr>
          <w:rFonts w:cs="Times New Roman"/>
          <w:bCs/>
          <w:color w:val="000000"/>
          <w:sz w:val="24"/>
          <w:szCs w:val="24"/>
        </w:rPr>
        <w:t>–</w:t>
      </w:r>
      <w:r w:rsidRPr="006C0038">
        <w:rPr>
          <w:rFonts w:cs="Times New Roman"/>
          <w:bCs/>
          <w:color w:val="000000"/>
          <w:sz w:val="24"/>
          <w:szCs w:val="24"/>
        </w:rPr>
        <w:t xml:space="preserve"> </w:t>
      </w:r>
      <w:r w:rsidR="006C0038" w:rsidRPr="006C0038">
        <w:rPr>
          <w:rFonts w:cs="Times New Roman"/>
          <w:bCs/>
          <w:color w:val="000000"/>
          <w:sz w:val="24"/>
          <w:szCs w:val="24"/>
        </w:rPr>
        <w:t xml:space="preserve">Изградња </w:t>
      </w:r>
      <w:r w:rsidR="006C0038" w:rsidRPr="006C0038">
        <w:rPr>
          <w:rFonts w:cs="Times New Roman"/>
          <w:bCs/>
          <w:color w:val="000000"/>
          <w:sz w:val="24"/>
          <w:szCs w:val="24"/>
          <w:lang w:val="sr-Cyrl-RS"/>
        </w:rPr>
        <w:t>долазних перона на аутобуској станици</w:t>
      </w:r>
      <w:r w:rsidR="00F0378E" w:rsidRPr="006C0038">
        <w:rPr>
          <w:rFonts w:cs="Times New Roman"/>
          <w:bCs/>
          <w:color w:val="000000"/>
          <w:sz w:val="24"/>
          <w:szCs w:val="24"/>
          <w:lang w:val="sr-Cyrl-RS"/>
        </w:rPr>
        <w:t xml:space="preserve">. </w:t>
      </w:r>
    </w:p>
    <w:p w:rsidR="00F0378E" w:rsidRPr="006C0038" w:rsidRDefault="00F0378E" w:rsidP="00FC053B">
      <w:pPr>
        <w:ind w:left="737"/>
        <w:jc w:val="both"/>
        <w:rPr>
          <w:rFonts w:cs="Times New Roman"/>
          <w:bCs/>
          <w:color w:val="000000"/>
          <w:sz w:val="24"/>
          <w:szCs w:val="24"/>
          <w:lang w:val="sr-Cyrl-RS"/>
        </w:rPr>
      </w:pPr>
    </w:p>
    <w:p w:rsidR="006C0038" w:rsidRPr="006C0038" w:rsidRDefault="006C0038" w:rsidP="006C0038">
      <w:pPr>
        <w:pStyle w:val="ListParagraph"/>
        <w:numPr>
          <w:ilvl w:val="0"/>
          <w:numId w:val="16"/>
        </w:numPr>
        <w:suppressAutoHyphens w:val="0"/>
        <w:spacing w:line="276" w:lineRule="auto"/>
        <w:rPr>
          <w:rFonts w:eastAsia="Calibri" w:cs="Times New Roman"/>
          <w:b/>
          <w:bCs/>
          <w:sz w:val="24"/>
          <w:szCs w:val="24"/>
          <w:lang w:val="sr-Cyrl-CS"/>
        </w:rPr>
      </w:pPr>
      <w:r w:rsidRPr="006C0038">
        <w:rPr>
          <w:rFonts w:eastAsia="Calibri" w:cs="Times New Roman"/>
          <w:b/>
          <w:bCs/>
          <w:sz w:val="24"/>
          <w:szCs w:val="24"/>
          <w:lang w:val="sr-Cyrl-CS"/>
        </w:rPr>
        <w:t xml:space="preserve">Опис добара/радова/услуга: </w:t>
      </w:r>
    </w:p>
    <w:p w:rsidR="006C0038" w:rsidRPr="006C0038" w:rsidRDefault="006C0038" w:rsidP="006C0038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Изградња долазних перона на аутобуској станици </w:t>
      </w:r>
      <w:r>
        <w:rPr>
          <w:rFonts w:eastAsia="Calibri" w:cs="Times New Roman"/>
          <w:noProof/>
          <w:sz w:val="24"/>
          <w:szCs w:val="24"/>
          <w:lang w:val="sr-Cyrl-CS"/>
        </w:rPr>
        <w:t xml:space="preserve">(у даљем тексту скраћено: МАС)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на </w:t>
      </w:r>
      <w:r>
        <w:rPr>
          <w:rFonts w:eastAsia="Calibri" w:cs="Times New Roman"/>
          <w:noProof/>
          <w:sz w:val="24"/>
          <w:szCs w:val="24"/>
          <w:lang w:val="sr-Cyrl-CS"/>
        </w:rPr>
        <w:t>локацији Булевар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Јаше Томића бр. 6</w:t>
      </w:r>
      <w:r>
        <w:rPr>
          <w:rFonts w:eastAsia="Calibri" w:cs="Times New Roman"/>
          <w:noProof/>
          <w:sz w:val="24"/>
          <w:szCs w:val="24"/>
          <w:lang w:val="sr-Cyrl-CS"/>
        </w:rPr>
        <w:t xml:space="preserve">,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на парцели број </w:t>
      </w:r>
      <w:r w:rsidRPr="006C0038">
        <w:rPr>
          <w:rFonts w:eastAsia="Calibri" w:cs="Times New Roman"/>
          <w:noProof/>
          <w:sz w:val="24"/>
          <w:szCs w:val="24"/>
          <w:lang w:val="sr-Cyrl-RS"/>
        </w:rPr>
        <w:t>4967/9 К.О. Нови Сад 1</w:t>
      </w:r>
      <w:r>
        <w:rPr>
          <w:rFonts w:eastAsia="Calibri" w:cs="Times New Roman"/>
          <w:noProof/>
          <w:sz w:val="24"/>
          <w:szCs w:val="24"/>
          <w:lang w:val="sr-Cyrl-RS"/>
        </w:rPr>
        <w:t xml:space="preserve">,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на основу Идејног решења ИДР-8-2021, Пројекта за грађевинску дозволу (ПГД), Решења о грађевинској дозволи и Пројекта за извођење (ПЗИ)</w:t>
      </w:r>
      <w:r>
        <w:rPr>
          <w:rFonts w:eastAsia="Calibri" w:cs="Times New Roman"/>
          <w:noProof/>
          <w:sz w:val="24"/>
          <w:szCs w:val="24"/>
          <w:lang w:val="sr-Cyrl-CS"/>
        </w:rPr>
        <w:t>.</w:t>
      </w:r>
    </w:p>
    <w:p w:rsidR="006C0038" w:rsidRPr="006C0038" w:rsidRDefault="006C0038" w:rsidP="006C0038">
      <w:pPr>
        <w:pStyle w:val="ListParagraph"/>
        <w:spacing w:after="200" w:line="276" w:lineRule="auto"/>
        <w:ind w:left="709"/>
        <w:rPr>
          <w:rFonts w:eastAsia="Calibri" w:cs="Times New Roman"/>
          <w:noProof/>
          <w:sz w:val="24"/>
          <w:szCs w:val="24"/>
          <w:lang w:val="sr-Cyrl-CS"/>
        </w:rPr>
      </w:pPr>
    </w:p>
    <w:p w:rsidR="006C0038" w:rsidRPr="006C0038" w:rsidRDefault="006C0038" w:rsidP="006C0038">
      <w:pPr>
        <w:pStyle w:val="ListParagraph"/>
        <w:spacing w:after="200" w:line="276" w:lineRule="auto"/>
        <w:ind w:left="709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1.1. ЛОКАЦИЈА </w:t>
      </w:r>
    </w:p>
    <w:p w:rsidR="006C0038" w:rsidRPr="006C0038" w:rsidRDefault="006C0038" w:rsidP="006C0038">
      <w:pPr>
        <w:pStyle w:val="ListParagraph"/>
        <w:spacing w:after="200" w:line="276" w:lineRule="auto"/>
        <w:ind w:left="709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6C0038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Комплекс МАС реорганизоваће се у оквиру постојеће парцеле ради оптимизације саобраћајно технолошке поставке</w:t>
      </w:r>
      <w:r>
        <w:rPr>
          <w:rFonts w:eastAsia="Calibri" w:cs="Times New Roman"/>
          <w:noProof/>
          <w:sz w:val="24"/>
          <w:szCs w:val="24"/>
          <w:lang w:val="sr-Cyrl-CS"/>
        </w:rPr>
        <w:t xml:space="preserve">.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Све је условљено важећом законском регулативом и захтевима </w:t>
      </w:r>
      <w:r>
        <w:rPr>
          <w:rFonts w:eastAsia="Calibri" w:cs="Times New Roman"/>
          <w:noProof/>
          <w:sz w:val="24"/>
          <w:szCs w:val="24"/>
          <w:lang w:val="sr-Cyrl-CS"/>
        </w:rPr>
        <w:t>Наручиоца.</w:t>
      </w:r>
    </w:p>
    <w:p w:rsidR="006C0038" w:rsidRPr="006C0038" w:rsidRDefault="006C0038" w:rsidP="006C0038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6C0038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На основу Правилника о категоризацији аутобуских станица у Републици Србији </w:t>
      </w:r>
      <w:r>
        <w:rPr>
          <w:rFonts w:eastAsia="Calibri" w:cs="Times New Roman"/>
          <w:noProof/>
          <w:sz w:val="24"/>
          <w:szCs w:val="24"/>
          <w:lang w:val="sr-Cyrl-CS"/>
        </w:rPr>
        <w:t>("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Сл. гласник РС</w:t>
      </w:r>
      <w:r>
        <w:rPr>
          <w:rFonts w:eastAsia="Calibri" w:cs="Times New Roman"/>
          <w:noProof/>
          <w:sz w:val="24"/>
          <w:szCs w:val="24"/>
          <w:lang w:val="sr-Cyrl-CS"/>
        </w:rPr>
        <w:t xml:space="preserve">",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бр.109/2020</w:t>
      </w:r>
      <w:r>
        <w:rPr>
          <w:rFonts w:eastAsia="Calibri" w:cs="Times New Roman"/>
          <w:noProof/>
          <w:sz w:val="24"/>
          <w:szCs w:val="24"/>
          <w:lang w:val="sr-Cyrl-CS"/>
        </w:rPr>
        <w:t xml:space="preserve">)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потребно је изградити још </w:t>
      </w:r>
      <w:r>
        <w:rPr>
          <w:rFonts w:eastAsia="Calibri" w:cs="Times New Roman"/>
          <w:noProof/>
          <w:sz w:val="24"/>
          <w:szCs w:val="24"/>
          <w:lang w:val="sr-Cyrl-CS"/>
        </w:rPr>
        <w:t>четири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долазна перона са надстрешницама чиме би били </w:t>
      </w:r>
      <w:r>
        <w:rPr>
          <w:rFonts w:eastAsia="Calibri" w:cs="Times New Roman"/>
          <w:noProof/>
          <w:sz w:val="24"/>
          <w:szCs w:val="24"/>
          <w:lang w:val="sr-Cyrl-CS"/>
        </w:rPr>
        <w:t>испуњен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и критеријуми за добијање </w:t>
      </w:r>
      <w:r w:rsidRPr="006C0038">
        <w:rPr>
          <w:rFonts w:eastAsia="Calibri" w:cs="Times New Roman"/>
          <w:noProof/>
          <w:sz w:val="24"/>
          <w:szCs w:val="24"/>
          <w:lang w:val="sr-Latn-RS"/>
        </w:rPr>
        <w:t>I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категорије аутобуских станица</w:t>
      </w:r>
      <w:r>
        <w:rPr>
          <w:rFonts w:eastAsia="Calibri" w:cs="Times New Roman"/>
          <w:noProof/>
          <w:sz w:val="24"/>
          <w:szCs w:val="24"/>
          <w:lang w:val="sr-Cyrl-CS"/>
        </w:rPr>
        <w:t xml:space="preserve">,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које одређује Привредна комора Србије. Сходно томе и на основу потреба фреквентности долазног саобраћаја у источном делу комплекса </w:t>
      </w:r>
      <w:r>
        <w:rPr>
          <w:rFonts w:eastAsia="Calibri" w:cs="Times New Roman"/>
          <w:noProof/>
          <w:sz w:val="24"/>
          <w:szCs w:val="24"/>
          <w:lang w:val="sr-Cyrl-CS"/>
        </w:rPr>
        <w:t>МАС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планира се изградња </w:t>
      </w:r>
      <w:r>
        <w:rPr>
          <w:rFonts w:eastAsia="Calibri" w:cs="Times New Roman"/>
          <w:noProof/>
          <w:sz w:val="24"/>
          <w:szCs w:val="24"/>
          <w:lang w:val="sr-Cyrl-CS"/>
        </w:rPr>
        <w:t>четири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нова перона са надстрешницама према законској регулативи. </w:t>
      </w:r>
    </w:p>
    <w:p w:rsidR="006C0038" w:rsidRPr="006C0038" w:rsidRDefault="006C0038" w:rsidP="006C0038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6C0038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Геометрија перона и надстрешница је дефинисана Правилником о ближим саобраћајно-техничким и другим условима за изградњу, одржавање и експлоатацију аутобуских станица и аутобуских стајалишта </w:t>
      </w:r>
      <w:r>
        <w:rPr>
          <w:rFonts w:eastAsia="Calibri" w:cs="Times New Roman"/>
          <w:noProof/>
          <w:sz w:val="24"/>
          <w:szCs w:val="24"/>
          <w:lang w:val="sr-Cyrl-CS"/>
        </w:rPr>
        <w:t>("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Сл. гласник РС</w:t>
      </w:r>
      <w:r w:rsidR="00DE3AD2">
        <w:rPr>
          <w:rFonts w:eastAsia="Calibri" w:cs="Times New Roman"/>
          <w:noProof/>
          <w:sz w:val="24"/>
          <w:szCs w:val="24"/>
          <w:lang w:val="sr-Cyrl-CS"/>
        </w:rPr>
        <w:t xml:space="preserve">", број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7/2017</w:t>
      </w:r>
      <w:r w:rsidR="00DE3AD2">
        <w:rPr>
          <w:rFonts w:eastAsia="Calibri" w:cs="Times New Roman"/>
          <w:noProof/>
          <w:sz w:val="24"/>
          <w:szCs w:val="24"/>
          <w:lang w:val="sr-Cyrl-CS"/>
        </w:rPr>
        <w:t>)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. Правилником се између осталог, одређују димензије перона, разлике у висини нивоа перонског простора за путнике и перонског простора за аутобусе – саобраћајнице као и минимална висина 4,5</w:t>
      </w:r>
      <w:r w:rsidR="00DE3AD2">
        <w:rPr>
          <w:rFonts w:eastAsia="Calibri" w:cs="Times New Roman"/>
          <w:noProof/>
          <w:sz w:val="24"/>
          <w:szCs w:val="24"/>
          <w:lang w:val="sr-Latn-RS"/>
        </w:rPr>
        <w:t xml:space="preserve"> 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од перонског простора за аутобусе (саобраћајнице) до најниже тачке надстрешнице. Предвиђена је и изградња инсталација и партерно уређење простора.   </w:t>
      </w:r>
    </w:p>
    <w:p w:rsidR="006C0038" w:rsidRPr="006C0038" w:rsidRDefault="006C0038" w:rsidP="006C0038">
      <w:pPr>
        <w:pStyle w:val="ListParagraph"/>
        <w:spacing w:after="200" w:line="276" w:lineRule="auto"/>
        <w:ind w:left="709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6C0038">
      <w:pPr>
        <w:pStyle w:val="ListParagraph"/>
        <w:spacing w:after="200" w:line="276" w:lineRule="auto"/>
        <w:ind w:left="709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1.2. ОБЈЕКАТ </w:t>
      </w:r>
    </w:p>
    <w:p w:rsidR="006C0038" w:rsidRPr="006C0038" w:rsidRDefault="006C0038" w:rsidP="006C0038">
      <w:pPr>
        <w:pStyle w:val="ListParagraph"/>
        <w:spacing w:after="200" w:line="276" w:lineRule="auto"/>
        <w:ind w:left="709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Default="006C0038" w:rsidP="00DE3AD2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Latn-R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Надстрешнице долазних перона се планирају са геометријом која максимално задовољава потребе путника и аутобуског саобраћаја. Надстрешница је ширине 4 </w:t>
      </w:r>
      <w:r w:rsidR="00DE3AD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, дужине 12 </w:t>
      </w:r>
      <w:r w:rsidR="00DE3AD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уз источну ивицу парцеле, чисте висине на најнижем делу 3,25 </w:t>
      </w:r>
      <w:r w:rsidR="00DE3AD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изнад тротоара и 4,65</w:t>
      </w:r>
      <w:r w:rsidR="00DE3AD2">
        <w:rPr>
          <w:rFonts w:eastAsia="Calibri" w:cs="Times New Roman"/>
          <w:noProof/>
          <w:sz w:val="24"/>
          <w:szCs w:val="24"/>
          <w:lang w:val="sr-Latn-RS"/>
        </w:rPr>
        <w:t xml:space="preserve"> m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изнад коловоза. Спратност је П. </w:t>
      </w:r>
    </w:p>
    <w:p w:rsidR="00DE3AD2" w:rsidRPr="00DE3AD2" w:rsidRDefault="00DE3AD2" w:rsidP="00DE3AD2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Latn-RS"/>
        </w:rPr>
      </w:pPr>
    </w:p>
    <w:p w:rsidR="006C0038" w:rsidRPr="006C0038" w:rsidRDefault="006C0038" w:rsidP="00DE3AD2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Конструкција објекта је челична и чине је 2 рама на осном размаку 6.80 </w:t>
      </w:r>
      <w:r w:rsidR="00DE3AD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. Рамови су у облику несиметричног слова „Т“. На стуб рама се конзолно ослањају греде са обе стране, дужине 2.80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односно 1.00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, мерено хоризонтално. Греде су постављене под нагибом у односу на хоризонталу. На греде се ослањају рожњаче на које се ослања кровни покривач – трапезни лим. Рожњаче су статичког система греде са два препуста дужине 1.90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. Стубови и греде рамова су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lastRenderedPageBreak/>
        <w:t>предвиђени од челичних ваљаних профила (</w:t>
      </w:r>
      <w:r w:rsidRPr="006C0038">
        <w:rPr>
          <w:rFonts w:eastAsia="Calibri" w:cs="Times New Roman"/>
          <w:noProof/>
          <w:sz w:val="24"/>
          <w:szCs w:val="24"/>
          <w:lang w:val="sr-Latn-RS"/>
        </w:rPr>
        <w:t>I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профила)</w:t>
      </w:r>
      <w:r w:rsidRPr="006C0038">
        <w:rPr>
          <w:rFonts w:eastAsia="Calibri" w:cs="Times New Roman"/>
          <w:noProof/>
          <w:sz w:val="24"/>
          <w:szCs w:val="24"/>
          <w:lang w:val="sr-Latn-RS"/>
        </w:rPr>
        <w:t>,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док су рожњаче предвиђене од кутијастих профила. Стубови конструкције су фундирани на бетонским темељима самцима. Кров је двоводни. Олучна хоризонтала је планирана између две кровне равни, вертикала интегрисана у јужном стубу. Облога стубова метални фасадни панел. Висина венца надстрешнице 5,20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.  Конструктивно решење је дефинисано тако да не омета технолошке и безбедоносне захтеве</w:t>
      </w:r>
      <w:r w:rsidRPr="006C0038">
        <w:rPr>
          <w:rFonts w:eastAsia="Calibri" w:cs="Times New Roman"/>
          <w:noProof/>
          <w:sz w:val="24"/>
          <w:szCs w:val="24"/>
          <w:lang w:val="sr-Latn-RS"/>
        </w:rPr>
        <w:t>,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а и да се максимално сачува постојећи дрворед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 xml:space="preserve">.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На аутобуском перону уз само стајалиште је обезбеђена сигурносна ширина. Сигурносна ширина између коловоза перона и конструкције надстрешнице</w:t>
      </w:r>
      <w:r w:rsidRPr="006C0038">
        <w:rPr>
          <w:rFonts w:eastAsia="Calibri" w:cs="Times New Roman"/>
          <w:noProof/>
          <w:sz w:val="24"/>
          <w:szCs w:val="24"/>
          <w:lang w:val="sr-Latn-RS"/>
        </w:rPr>
        <w:t xml:space="preserve">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(стуба) мора да износи најмање 0,75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у висини до 2,5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, и најмање 0</w:t>
      </w:r>
      <w:r w:rsidRPr="006C0038">
        <w:rPr>
          <w:rFonts w:eastAsia="Calibri" w:cs="Times New Roman"/>
          <w:noProof/>
          <w:sz w:val="24"/>
          <w:szCs w:val="24"/>
          <w:lang w:val="sr-Latn-RS"/>
        </w:rPr>
        <w:t>,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50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изнад 2</w:t>
      </w:r>
      <w:r w:rsidRPr="006C0038">
        <w:rPr>
          <w:rFonts w:eastAsia="Calibri" w:cs="Times New Roman"/>
          <w:noProof/>
          <w:sz w:val="24"/>
          <w:szCs w:val="24"/>
          <w:lang w:val="sr-Latn-RS"/>
        </w:rPr>
        <w:t>,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5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 xml:space="preserve"> 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. Сходно томе планирана је светла ширина од коловоза до стуба од око 2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због отварања букера и пражњења пртљажника. Предложени модел надстрешница за долазне пероне то омогућава</w:t>
      </w:r>
      <w:r w:rsidRPr="006C0038">
        <w:rPr>
          <w:rFonts w:eastAsia="Calibri" w:cs="Times New Roman"/>
          <w:noProof/>
          <w:sz w:val="24"/>
          <w:szCs w:val="24"/>
          <w:lang w:val="sr-Latn-RS"/>
        </w:rPr>
        <w:t>,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јер су конструкционо носећи стубови измештени из подужне осе надстрешнице.  </w:t>
      </w:r>
    </w:p>
    <w:p w:rsidR="00C422B2" w:rsidRDefault="00C422B2" w:rsidP="00DE3AD2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Latn-RS"/>
        </w:rPr>
      </w:pPr>
    </w:p>
    <w:p w:rsidR="006C0038" w:rsidRPr="006C0038" w:rsidRDefault="006C0038" w:rsidP="00DE3AD2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Поред обавезне светле висине, мин 4.5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од површине коловоза до најниже тачке надстрешнице, мерено по вертикали непосредно уз ивичњак, надстрешница је позиционирана тако и да део који на</w:t>
      </w:r>
      <w:r w:rsidRPr="006C0038">
        <w:rPr>
          <w:rFonts w:eastAsia="Calibri" w:cs="Times New Roman"/>
          <w:noProof/>
          <w:sz w:val="24"/>
          <w:szCs w:val="24"/>
          <w:lang w:val="sr-Cyrl-RS"/>
        </w:rPr>
        <w:t>т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крива аутобус улази у профил коловоза 60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cm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у висини изнад 4,5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. </w:t>
      </w:r>
    </w:p>
    <w:p w:rsidR="006C0038" w:rsidRPr="006C0038" w:rsidRDefault="006C0038" w:rsidP="00DE3AD2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DE3AD2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Ширина перона не може бити мања од 4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 xml:space="preserve">m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и мора да обезбеди неометан прилаз аутобуса, као и искрцавање путника из аутобуса на предња и задња врата. Укупна дужина перона предвиђена за путнике одређена је бројем перона и мора да буде уздигнута у односу на површину за аутобусе од 10 до 20 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>cm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. Планирана је висина од 15</w:t>
      </w:r>
      <w:r w:rsidR="00C422B2">
        <w:rPr>
          <w:rFonts w:eastAsia="Calibri" w:cs="Times New Roman"/>
          <w:noProof/>
          <w:sz w:val="24"/>
          <w:szCs w:val="24"/>
          <w:lang w:val="sr-Latn-RS"/>
        </w:rPr>
        <w:t xml:space="preserve"> cm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.</w:t>
      </w:r>
    </w:p>
    <w:p w:rsidR="006C0038" w:rsidRPr="006C0038" w:rsidRDefault="006C0038" w:rsidP="00DE3AD2">
      <w:pPr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Нови перони са надстерешницом морају бити осветљени.</w:t>
      </w:r>
      <w:r w:rsidRPr="006C0038">
        <w:rPr>
          <w:rFonts w:cs="Times New Roman"/>
          <w:sz w:val="24"/>
          <w:szCs w:val="24"/>
        </w:rPr>
        <w:t xml:space="preserve">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Пројектом су предвиђене светиљке са лед извором светла, због енергетске ефикасности и дугог века трајања. </w:t>
      </w:r>
    </w:p>
    <w:p w:rsidR="006C0038" w:rsidRPr="006C0038" w:rsidRDefault="006C0038" w:rsidP="00DE3AD2">
      <w:pPr>
        <w:pStyle w:val="ListParagraph"/>
        <w:spacing w:after="200" w:line="276" w:lineRule="auto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6C0038" w:rsidRPr="006C0038" w:rsidRDefault="006C0038" w:rsidP="00DE3AD2">
      <w:pPr>
        <w:pStyle w:val="ListParagraph"/>
        <w:numPr>
          <w:ilvl w:val="0"/>
          <w:numId w:val="16"/>
        </w:numPr>
        <w:suppressAutoHyphens w:val="0"/>
        <w:spacing w:line="276" w:lineRule="auto"/>
        <w:ind w:left="1003" w:hanging="357"/>
        <w:jc w:val="both"/>
        <w:rPr>
          <w:rFonts w:eastAsia="Calibri" w:cs="Times New Roman"/>
          <w:b/>
          <w:bCs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b/>
          <w:bCs/>
          <w:sz w:val="24"/>
          <w:szCs w:val="24"/>
          <w:lang w:val="sr-Cyrl-CS"/>
        </w:rPr>
        <w:t>Техничке спецификације:</w:t>
      </w:r>
    </w:p>
    <w:p w:rsidR="006C0038" w:rsidRPr="001F1A76" w:rsidRDefault="00C422B2" w:rsidP="004A63CE">
      <w:pPr>
        <w:ind w:firstLine="646"/>
        <w:jc w:val="both"/>
        <w:rPr>
          <w:rFonts w:eastAsia="Calibri" w:cs="Times New Roman"/>
          <w:noProof/>
          <w:sz w:val="24"/>
          <w:szCs w:val="24"/>
          <w:u w:val="single"/>
          <w:lang w:val="sr-Cyrl-CS"/>
        </w:rPr>
      </w:pPr>
      <w:r w:rsidRPr="001F1A76">
        <w:rPr>
          <w:rFonts w:eastAsia="Calibri" w:cs="Times New Roman"/>
          <w:noProof/>
          <w:sz w:val="24"/>
          <w:szCs w:val="24"/>
          <w:u w:val="single"/>
          <w:lang w:val="sr-Cyrl-CS"/>
        </w:rPr>
        <w:t>Обавезе понуђача: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радове изводи на начин одређен уговором, прописима и правилима струке, техничким нормативима и српским стандардима; </w:t>
      </w:r>
    </w:p>
    <w:p w:rsidR="006C0038" w:rsidRPr="006C0038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обезбеди превентивне мере зе безбедан и здрав рад, у складу са законом;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да писмено упозори Наручиоца, а по потреби и орган који врши надзор о наступању непредвиђених околности које су од утицаја на извођење радова и примену техничке документације (промена техничких прописа, стандарда и норми квалитета после извршене техничке контроле, појаве археолошких налазишта, активирање клизишта, појава подземних вода и слично);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организује контролу радова у теренским и погонским лабораторијама, или да повери ту контролу стручним организацијама које су за то уписане у судски регистар;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утврди материјал, уређаје и техничку опрему, који одговарају српским техничким условима, или еквивалентним стандардима и другим техничким прописима;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врши квалитативно и квантитативно складиштење материјала;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преузима сву одговорност за примљен и складиштен материјал;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квалитет радова, материјала и уређаја који могу утицати на стабилност и сигурност објекта и квалитет целокупног објекта, односно радова, документује обрађеним резултатима испитивања или исправама издатим у складу са законом или прописима о техничким нормативима и српским стандардима или испитивањима предвиђеним у техничкој документацији;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lastRenderedPageBreak/>
        <w:t xml:space="preserve">изводи радове према документацији на основу које је издата грађевинска дозвола, односно Пројекту за извођење, у складу са прописима, стандардима, укључујући стандарде приступачности техничким нормативима и стандарду квалитета који важе за поједине врсте радова, инсталације и опреме;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организује градилиште на начин којим ће обезбедити приступ локацији, обезбеђење несметаног одвијања саобраћаја, заштиту околине за време трајања грађења;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да обезбеди безбедност свих лица на градилишту, као и одговарајуће чување и обезбеђење градилишта као и складишта материјала и слично, тако да се Наручилац </w:t>
      </w:r>
      <w:r w:rsidR="00C422B2">
        <w:rPr>
          <w:rFonts w:eastAsia="Calibri" w:cs="Times New Roman"/>
          <w:noProof/>
          <w:sz w:val="24"/>
          <w:szCs w:val="24"/>
          <w:lang w:val="sr-Cyrl-CS"/>
        </w:rPr>
        <w:t>ослобађа</w:t>
      </w: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 свих одговорности према државним органима и трећим лицима, што се тиче безбедности, прописа о заштити животне средине и радно-правних прописа за време укупног трајања извођења радова до предаје радова Наручиоцу;           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обезбеђује сигурност објекта, лица која се налазе на градилишту и околине (суседних објеката и саобраћајница);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обезбеђује доказ о квалитету извршених радова, односно уграђеног материјала, инсталације и опреме;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води грађевински дневник, грађевинску књигу и обезбеђује књигу инспекције;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обезбеђује мерења и геодетско осматрање понашање тла и објекта у току грађења;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обезбеђује објекте и околину у случају прекида радова;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на градилишту обезбеди уговор о грађењу, решење о одређивању одговорног извођача радова на градилишту и пројектну документацију, односно документацију на основу које се објекат гради;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у року од 8 календарских дана од дана пријаве градилишта осигура радове, материјал и опрему  од уобичајених ризика до њихове пуне вредности (осигурање објекта у изградњи) и достави Наручиоцу полису осигурања, оригинал или оверену копију, са важношћу за цео период извођења радова;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да у року од 8 календарских дана од дана пријаве градилишта достави Наручиоцу полису осигурања од одговорности према трећим лицима и стварима, оригинал или оверену копију са важношћу за цео период грађења објекта, у свему према важећим законским прописима 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Latn-RS"/>
        </w:rPr>
        <w:t xml:space="preserve">по завршетку радова повуче са градилишта раднике, уклони опрему, средства за рад и привремене објекте које је користио у току рада и очисти градилиште </w:t>
      </w:r>
      <w:r w:rsidRPr="00C422B2">
        <w:rPr>
          <w:rFonts w:eastAsia="Calibri" w:cs="Times New Roman"/>
          <w:noProof/>
          <w:sz w:val="24"/>
          <w:szCs w:val="24"/>
          <w:lang w:val="sr-Cyrl-RS"/>
        </w:rPr>
        <w:t>и објекат и</w:t>
      </w:r>
    </w:p>
    <w:p w:rsidR="006C0038" w:rsidRPr="00C422B2" w:rsidRDefault="006C0038" w:rsidP="00C422B2">
      <w:pPr>
        <w:pStyle w:val="ListParagraph"/>
        <w:numPr>
          <w:ilvl w:val="0"/>
          <w:numId w:val="23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изврши све друге обавезе наведене у спецификацији </w:t>
      </w:r>
      <w:r w:rsidR="00C422B2">
        <w:rPr>
          <w:rFonts w:eastAsia="Calibri" w:cs="Times New Roman"/>
          <w:noProof/>
          <w:sz w:val="24"/>
          <w:szCs w:val="24"/>
          <w:lang w:val="sr-Cyrl-CS"/>
        </w:rPr>
        <w:t>Н</w:t>
      </w:r>
      <w:r w:rsidRPr="00C422B2">
        <w:rPr>
          <w:rFonts w:eastAsia="Calibri" w:cs="Times New Roman"/>
          <w:noProof/>
          <w:sz w:val="24"/>
          <w:szCs w:val="24"/>
          <w:lang w:val="sr-Cyrl-CS"/>
        </w:rPr>
        <w:t xml:space="preserve">аручиоца.    </w:t>
      </w:r>
    </w:p>
    <w:p w:rsidR="006C0038" w:rsidRPr="006C0038" w:rsidRDefault="006C0038" w:rsidP="00DE3AD2">
      <w:pPr>
        <w:pStyle w:val="ListParagraph"/>
        <w:ind w:left="1004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6C0038" w:rsidRPr="006C0038" w:rsidRDefault="00C422B2" w:rsidP="00DE3AD2">
      <w:pPr>
        <w:ind w:left="709"/>
        <w:jc w:val="both"/>
        <w:rPr>
          <w:rFonts w:eastAsia="Calibri" w:cs="Times New Roman"/>
          <w:sz w:val="24"/>
          <w:szCs w:val="24"/>
          <w:lang w:val="sr-Cyrl-CS"/>
        </w:rPr>
      </w:pPr>
      <w:r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је одговоран и обавезан за спровођење мера заштите од пожара и заштите на раду приликом извођења радова предвиђених </w:t>
      </w:r>
      <w:r>
        <w:rPr>
          <w:rFonts w:eastAsia="Calibri" w:cs="Times New Roman"/>
          <w:noProof/>
          <w:sz w:val="24"/>
          <w:szCs w:val="24"/>
          <w:lang w:val="sr-Cyrl-CS"/>
        </w:rPr>
        <w:t>уговором о јавној набавци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 xml:space="preserve">, а у складу са Законом и то за све време припреме и извођења радова. </w:t>
      </w:r>
      <w:r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се такође обавезује да ће у случајевима ванредних догађаја који буду проузроковали оштећења на инфраструктури и опреми из делокруга радова по </w:t>
      </w:r>
      <w:r>
        <w:rPr>
          <w:rFonts w:eastAsia="Calibri" w:cs="Times New Roman"/>
          <w:noProof/>
          <w:sz w:val="24"/>
          <w:szCs w:val="24"/>
          <w:lang w:val="sr-Cyrl-CS"/>
        </w:rPr>
        <w:t>уговору о јавној набавци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 xml:space="preserve">, а која директно утичу на безбедност људи – грађана, иста хитно отклонити о свом трошку и о истима одмах обавестити Наручиоца. </w:t>
      </w:r>
    </w:p>
    <w:p w:rsidR="006C0038" w:rsidRPr="006C0038" w:rsidRDefault="006C0038" w:rsidP="00DE3AD2">
      <w:pPr>
        <w:pStyle w:val="ListParagraph"/>
        <w:ind w:left="709"/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sz w:val="24"/>
          <w:szCs w:val="24"/>
          <w:lang w:val="sr-Cyrl-CS"/>
        </w:rPr>
        <w:t xml:space="preserve"> </w:t>
      </w:r>
    </w:p>
    <w:p w:rsidR="006C0038" w:rsidRDefault="00C422B2" w:rsidP="00DE3AD2">
      <w:pPr>
        <w:pStyle w:val="ListParagraph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>
        <w:rPr>
          <w:rFonts w:eastAsia="Calibri" w:cs="Times New Roman"/>
          <w:noProof/>
          <w:sz w:val="24"/>
          <w:szCs w:val="24"/>
          <w:lang w:val="sr-Cyrl-CS"/>
        </w:rPr>
        <w:t xml:space="preserve">Понуђач је дужан да 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>о завршетку радова обавештава Наручиоца и стручни надзор, најкасније</w:t>
      </w:r>
      <w:r w:rsidR="004A63CE">
        <w:rPr>
          <w:rFonts w:eastAsia="Calibri" w:cs="Times New Roman"/>
          <w:noProof/>
          <w:sz w:val="24"/>
          <w:szCs w:val="24"/>
          <w:lang w:val="sr-Cyrl-CS"/>
        </w:rPr>
        <w:t xml:space="preserve"> седам 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 xml:space="preserve">дана пре завршетка радова, а дан завршетка радова уписује се у грађевински дневник. </w:t>
      </w:r>
    </w:p>
    <w:p w:rsidR="00ED4A4F" w:rsidRPr="006C0038" w:rsidRDefault="00ED4A4F" w:rsidP="00DE3AD2">
      <w:pPr>
        <w:pStyle w:val="ListParagraph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ED4A4F" w:rsidRDefault="006C0038" w:rsidP="00DE3AD2">
      <w:pPr>
        <w:pStyle w:val="ListParagraph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Примопредаја радова се врши комисијски најкасније у року од 15 дана од завршетка радова. Коначни обрачун радова се врши комисијски најкасније у року од 30 дана од завршетка радова.  </w:t>
      </w:r>
    </w:p>
    <w:p w:rsidR="00ED4A4F" w:rsidRDefault="00ED4A4F" w:rsidP="00DE3AD2">
      <w:pPr>
        <w:pStyle w:val="ListParagraph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ED4A4F" w:rsidRDefault="006C0038" w:rsidP="00DE3AD2">
      <w:pPr>
        <w:pStyle w:val="ListParagraph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Комисију за примопредају радова и коначни обрачун чине три представника Наручиоца који су стручњаци из предметне области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,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а нису учествовали у реализацији предмета уговора, и најмање по један представник стручног надзора и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понуђача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.  </w:t>
      </w:r>
    </w:p>
    <w:p w:rsidR="00ED4A4F" w:rsidRDefault="006C0038" w:rsidP="00DE3AD2">
      <w:pPr>
        <w:pStyle w:val="ListParagraph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Комисија сачињава записник о примопредаји радова.  </w:t>
      </w:r>
    </w:p>
    <w:p w:rsidR="00ED4A4F" w:rsidRDefault="00ED4A4F" w:rsidP="00DE3AD2">
      <w:pPr>
        <w:pStyle w:val="ListParagraph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ED4A4F" w:rsidRDefault="006C0038" w:rsidP="00DE3AD2">
      <w:pPr>
        <w:pStyle w:val="ListParagraph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Комисија сачињава коначан обрачун радова. </w:t>
      </w:r>
    </w:p>
    <w:p w:rsidR="00ED4A4F" w:rsidRDefault="00ED4A4F" w:rsidP="00DE3AD2">
      <w:pPr>
        <w:pStyle w:val="ListParagraph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6C0038" w:rsidRDefault="00ED4A4F" w:rsidP="00DE3AD2">
      <w:pPr>
        <w:pStyle w:val="ListParagraph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је дужан да приликом примопредаје радова преда Наручиоцу попуњене одговарајуће табеле свих уграђених материјала у</w:t>
      </w:r>
      <w:r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>три извода са приложеним атестима</w:t>
      </w:r>
      <w:r>
        <w:rPr>
          <w:rFonts w:eastAsia="Calibri" w:cs="Times New Roman"/>
          <w:noProof/>
          <w:sz w:val="24"/>
          <w:szCs w:val="24"/>
          <w:lang w:val="sr-Cyrl-CS"/>
        </w:rPr>
        <w:t>, као и и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>зјаву да су радови изведени сагласно пројектно техничкој документацији</w:t>
      </w:r>
      <w:r>
        <w:rPr>
          <w:rFonts w:eastAsia="Calibri" w:cs="Times New Roman"/>
          <w:noProof/>
          <w:sz w:val="24"/>
          <w:szCs w:val="24"/>
          <w:lang w:val="sr-Cyrl-CS"/>
        </w:rPr>
        <w:t>.</w:t>
      </w:r>
    </w:p>
    <w:p w:rsidR="00ED4A4F" w:rsidRDefault="00ED4A4F" w:rsidP="00DE3AD2">
      <w:pPr>
        <w:pStyle w:val="ListParagraph"/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Ако се од стране стручног надзора уписом у грађевински дневник утврди да радови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 xml:space="preserve">понуђача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имају недостатке у квалитету и грешке,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је дужан да приступи отклањању тих не</w:t>
      </w:r>
      <w:r w:rsidRPr="006C0038">
        <w:rPr>
          <w:rFonts w:eastAsia="Calibri" w:cs="Times New Roman"/>
          <w:noProof/>
          <w:sz w:val="24"/>
          <w:szCs w:val="24"/>
          <w:lang w:val="sr-Cyrl-RS"/>
        </w:rPr>
        <w:t>до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статака у року од два дана, те да исте отклони у примереном року. Уколико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 не отклони констатоване недостатке у квалитету и грешке у наведеном року, Наручилац ће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средство обезбеђења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за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извршење уговорних обавеза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.   </w:t>
      </w:r>
    </w:p>
    <w:p w:rsidR="00ED4A4F" w:rsidRDefault="00ED4A4F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Ако Наручилац, због закашњења у извођењу или предаји изведених радова, као и неиспуњавања обавеза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понуђача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из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уговора о јавној набавци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, претрпи штету која је већа од износа уговорне казне, може захтевати накнаду штете, односно поред уговорне казне и разлику до пуног износа претрпљене штете.</w:t>
      </w: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Квалитет материјала и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изведених радова од стране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понуђача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мора одговарати пројекту, одговарајућим техничким прописима, стандардима и нормама у грађевинарству. Сва доказивања квалитета уграђеног материјала (атести, прописана мерења и лабораторијска испитивања, пробе на градилишту и пробна оптерећења у случају када прописи то захтевају), а која су прописана пројектом и одговарајућим техничким прописима падају на терет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понуђача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и не плаћају се посебно. За укупан уграђени материјал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мора да достави Наручиоцу сертификате квалитета и атесте који се захтевају по важећим прописима и мерама за објекте те врсте у складу са пројектном документацијом. </w:t>
      </w:r>
      <w:r w:rsidR="00ED4A4F"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је одговоран уколико употреби материјал који не одговара траженом квалитету.  </w:t>
      </w: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sz w:val="24"/>
          <w:szCs w:val="24"/>
          <w:lang w:val="sr-Cyrl-CS"/>
        </w:rPr>
        <w:t xml:space="preserve">Наручилац може, у складу са чланом </w:t>
      </w:r>
      <w:r w:rsidRPr="006C0038">
        <w:rPr>
          <w:rFonts w:eastAsia="Calibri" w:cs="Times New Roman"/>
          <w:sz w:val="24"/>
          <w:szCs w:val="24"/>
          <w:lang w:val="sr-Latn-RS"/>
        </w:rPr>
        <w:t>160</w:t>
      </w:r>
      <w:r w:rsidRPr="006C0038">
        <w:rPr>
          <w:rFonts w:eastAsia="Calibri" w:cs="Times New Roman"/>
          <w:sz w:val="24"/>
          <w:szCs w:val="24"/>
          <w:lang w:val="sr-Cyrl-CS"/>
        </w:rPr>
        <w:t xml:space="preserve">. став 1. </w:t>
      </w:r>
      <w:r w:rsidRPr="006C0038">
        <w:rPr>
          <w:rFonts w:eastAsia="Calibri" w:cs="Times New Roman"/>
          <w:sz w:val="24"/>
          <w:szCs w:val="24"/>
          <w:lang w:val="sr-Cyrl-RS"/>
        </w:rPr>
        <w:t xml:space="preserve">тачка 2. </w:t>
      </w:r>
      <w:r w:rsidRPr="006C0038">
        <w:rPr>
          <w:rFonts w:eastAsia="Calibri" w:cs="Times New Roman"/>
          <w:sz w:val="24"/>
          <w:szCs w:val="24"/>
          <w:lang w:val="sr-Cyrl-CS"/>
        </w:rPr>
        <w:t xml:space="preserve">ЗЈН, током трајања </w:t>
      </w:r>
      <w:r w:rsidR="001F1A76">
        <w:rPr>
          <w:rFonts w:eastAsia="Calibri" w:cs="Times New Roman"/>
          <w:sz w:val="24"/>
          <w:szCs w:val="24"/>
          <w:lang w:val="sr-Cyrl-CS"/>
        </w:rPr>
        <w:t>у</w:t>
      </w:r>
      <w:r w:rsidRPr="006C0038">
        <w:rPr>
          <w:rFonts w:eastAsia="Calibri" w:cs="Times New Roman"/>
          <w:sz w:val="24"/>
          <w:szCs w:val="24"/>
          <w:lang w:val="sr-Cyrl-CS"/>
        </w:rPr>
        <w:t>говора</w:t>
      </w:r>
      <w:r w:rsidR="001F1A76">
        <w:rPr>
          <w:rFonts w:eastAsia="Calibri" w:cs="Times New Roman"/>
          <w:sz w:val="24"/>
          <w:szCs w:val="24"/>
          <w:lang w:val="sr-Cyrl-CS"/>
        </w:rPr>
        <w:t xml:space="preserve"> о јавној набавци</w:t>
      </w:r>
      <w:r w:rsidRPr="006C0038">
        <w:rPr>
          <w:rFonts w:eastAsia="Calibri" w:cs="Times New Roman"/>
          <w:sz w:val="24"/>
          <w:szCs w:val="24"/>
          <w:lang w:val="sr-Cyrl-CS"/>
        </w:rPr>
        <w:t xml:space="preserve">, повећати обим предмета набавке, с тим да се вредност уговора може повећати максимално до 15% од укупне вредности првобитно закљученог уговора. </w:t>
      </w:r>
    </w:p>
    <w:p w:rsidR="006C0038" w:rsidRPr="006C0038" w:rsidRDefault="006C0038" w:rsidP="00DE3AD2">
      <w:pPr>
        <w:ind w:left="709"/>
        <w:jc w:val="both"/>
        <w:rPr>
          <w:rFonts w:eastAsia="Calibri" w:cs="Times New Roman"/>
          <w:sz w:val="24"/>
          <w:szCs w:val="24"/>
          <w:lang w:val="sr-Cyrl-CS"/>
        </w:rPr>
      </w:pPr>
    </w:p>
    <w:p w:rsidR="006C0038" w:rsidRPr="006C0038" w:rsidRDefault="006C0038" w:rsidP="00DE3AD2">
      <w:pPr>
        <w:ind w:left="709"/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sz w:val="24"/>
          <w:szCs w:val="24"/>
          <w:lang w:val="sr-Cyrl-CS"/>
        </w:rPr>
        <w:t>Уколико се у техничкој документацији у означавању добара или радова одређене производње, извора или градње наводи одређени робни зна</w:t>
      </w:r>
      <w:r w:rsidR="001F1A76">
        <w:rPr>
          <w:rFonts w:eastAsia="Calibri" w:cs="Times New Roman"/>
          <w:sz w:val="24"/>
          <w:szCs w:val="24"/>
          <w:lang w:val="sr-Cyrl-CS"/>
        </w:rPr>
        <w:t>к, патент, тип или произвођач, п</w:t>
      </w:r>
      <w:r w:rsidRPr="006C0038">
        <w:rPr>
          <w:rFonts w:eastAsia="Calibri" w:cs="Times New Roman"/>
          <w:sz w:val="24"/>
          <w:szCs w:val="24"/>
          <w:lang w:val="sr-Cyrl-CS"/>
        </w:rPr>
        <w:t>онуђач може понудити и другу врсту, истих или бољих техничких карактеристика.</w:t>
      </w:r>
    </w:p>
    <w:p w:rsidR="006C0038" w:rsidRPr="006C0038" w:rsidRDefault="006C0038" w:rsidP="00DE3AD2">
      <w:pPr>
        <w:ind w:left="709"/>
        <w:jc w:val="both"/>
        <w:rPr>
          <w:rFonts w:eastAsia="Calibri" w:cs="Times New Roman"/>
          <w:sz w:val="24"/>
          <w:szCs w:val="24"/>
          <w:lang w:val="sr-Cyrl-CS"/>
        </w:rPr>
      </w:pPr>
    </w:p>
    <w:p w:rsidR="006C0038" w:rsidRPr="006C0038" w:rsidRDefault="006C0038" w:rsidP="00DE3AD2">
      <w:pPr>
        <w:ind w:left="709"/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sz w:val="24"/>
          <w:szCs w:val="24"/>
          <w:lang w:val="sr-Cyrl-CS"/>
        </w:rPr>
        <w:t xml:space="preserve">Уколико се током извођења уговорених радова појави потреба за извођењем вишка радова, </w:t>
      </w:r>
      <w:r w:rsidR="001F1A76">
        <w:rPr>
          <w:rFonts w:eastAsia="Calibri" w:cs="Times New Roman"/>
          <w:sz w:val="24"/>
          <w:szCs w:val="24"/>
          <w:lang w:val="sr-Cyrl-CS"/>
        </w:rPr>
        <w:t>понуђач</w:t>
      </w:r>
      <w:r w:rsidRPr="006C0038">
        <w:rPr>
          <w:rFonts w:eastAsia="Calibri" w:cs="Times New Roman"/>
          <w:sz w:val="24"/>
          <w:szCs w:val="24"/>
          <w:lang w:val="sr-Cyrl-CS"/>
        </w:rPr>
        <w:t xml:space="preserve"> је дужан да о томе одмах, писаним путем, обавести стручни надзор и  Наручиоца. </w:t>
      </w:r>
      <w:r w:rsidR="001F1A76">
        <w:rPr>
          <w:rFonts w:eastAsia="Calibri" w:cs="Times New Roman"/>
          <w:sz w:val="24"/>
          <w:szCs w:val="24"/>
          <w:lang w:val="sr-Cyrl-CS"/>
        </w:rPr>
        <w:t xml:space="preserve">Понуђач </w:t>
      </w:r>
      <w:r w:rsidRPr="006C0038">
        <w:rPr>
          <w:rFonts w:eastAsia="Calibri" w:cs="Times New Roman"/>
          <w:sz w:val="24"/>
          <w:szCs w:val="24"/>
          <w:lang w:val="sr-Cyrl-CS"/>
        </w:rPr>
        <w:t xml:space="preserve">није овлашћен да мења обим уговорених радова односно да изведе вишак радова без писане сагласности стручног надзора и Наручиоца. </w:t>
      </w:r>
    </w:p>
    <w:p w:rsidR="006C0038" w:rsidRPr="006C0038" w:rsidRDefault="006C0038" w:rsidP="00DE3AD2">
      <w:pPr>
        <w:ind w:left="709"/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sz w:val="24"/>
          <w:szCs w:val="24"/>
          <w:lang w:val="sr-Cyrl-CS"/>
        </w:rPr>
        <w:t>Уколико се у току изградње појаве вишкови и мањкови радова, који у укупном збиру не прелазе укупно уговорени износ, исплата тих радова извршиће се по понуђеним јединичним ценама. Уколико укупан збир вишкова и мањкова радова прелази укупно уговорени износ, исплата тих радова извршиће се по јединичним ценама из усвојене понуде у складу са чланом 157. ЗЈН.</w:t>
      </w:r>
      <w:r w:rsidRPr="006C0038">
        <w:rPr>
          <w:rFonts w:eastAsia="Calibri" w:cs="Times New Roman"/>
          <w:color w:val="FF0000"/>
          <w:sz w:val="24"/>
          <w:szCs w:val="24"/>
          <w:lang w:val="sr-Cyrl-CS"/>
        </w:rPr>
        <w:t xml:space="preserve"> </w:t>
      </w:r>
    </w:p>
    <w:p w:rsidR="006C0038" w:rsidRPr="006C0038" w:rsidRDefault="006C0038" w:rsidP="00DE3AD2">
      <w:pPr>
        <w:ind w:left="709"/>
        <w:jc w:val="both"/>
        <w:rPr>
          <w:rFonts w:eastAsia="Calibri" w:cs="Times New Roman"/>
          <w:sz w:val="24"/>
          <w:szCs w:val="24"/>
          <w:lang w:val="sr-Cyrl-CS"/>
        </w:rPr>
      </w:pPr>
    </w:p>
    <w:p w:rsidR="006C0038" w:rsidRPr="006C0038" w:rsidRDefault="006C0038" w:rsidP="00DE3AD2">
      <w:pPr>
        <w:ind w:left="709"/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sz w:val="24"/>
          <w:szCs w:val="24"/>
          <w:lang w:val="sr-Cyrl-CS"/>
        </w:rPr>
        <w:t xml:space="preserve">Наручилац задржава право да смањи уговорени обим радова, о чему је дужан да у писаној форми извести </w:t>
      </w:r>
      <w:r w:rsidR="001F1A76">
        <w:rPr>
          <w:rFonts w:eastAsia="Calibri" w:cs="Times New Roman"/>
          <w:sz w:val="24"/>
          <w:szCs w:val="24"/>
          <w:lang w:val="sr-Cyrl-CS"/>
        </w:rPr>
        <w:t>понуђача</w:t>
      </w:r>
      <w:r w:rsidRPr="006C0038">
        <w:rPr>
          <w:rFonts w:eastAsia="Calibri" w:cs="Times New Roman"/>
          <w:sz w:val="24"/>
          <w:szCs w:val="24"/>
          <w:lang w:val="sr-Cyrl-CS"/>
        </w:rPr>
        <w:t xml:space="preserve">. У случају када се смањи уговорени обим послова на захтев Наручиоца, плаћање изведених радова извршиће се сразмерно њиховом обиму. </w:t>
      </w: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sz w:val="24"/>
          <w:szCs w:val="24"/>
          <w:lang w:val="sr-Cyrl-CS"/>
        </w:rPr>
      </w:pP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Кoмплетну документацију неопходну за оверу ситуације: листове грађевинског дневника, листове грађевинске књиге, одговарајуће атесте за уграђени материјал и набавку опреме,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lastRenderedPageBreak/>
        <w:t xml:space="preserve">динамички план са пресеком стања радова и предлог мера за отклањање евентуалних кашњења у реализацији и другу документацију 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доставља стручном надзору, с тим да се у супротном неће извршити плаћање тих позиција, што 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признаје без права на приговор.    </w:t>
      </w: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У једин</w:t>
      </w:r>
      <w:r w:rsidRPr="006C0038">
        <w:rPr>
          <w:rFonts w:eastAsia="Calibri" w:cs="Times New Roman"/>
          <w:noProof/>
          <w:sz w:val="24"/>
          <w:szCs w:val="24"/>
          <w:lang w:val="sr-Cyrl-RS"/>
        </w:rPr>
        <w:t>и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чним ценама поред вредности уграђеног материјала и трошкова израде треба да су обухваћени, и не плаћају се посебно, и сви остали трошкови везани за 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 xml:space="preserve">извођење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радова по пројекту и предмеру</w:t>
      </w:r>
      <w:r w:rsidRPr="006C0038">
        <w:rPr>
          <w:rFonts w:eastAsia="Calibri" w:cs="Times New Roman"/>
          <w:noProof/>
          <w:sz w:val="24"/>
          <w:szCs w:val="24"/>
          <w:lang w:val="sr-Latn-RS"/>
        </w:rPr>
        <w:t>,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а то су : </w:t>
      </w: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1F1A76">
      <w:pPr>
        <w:pStyle w:val="ListParagraph"/>
        <w:numPr>
          <w:ilvl w:val="0"/>
          <w:numId w:val="25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сви припремни и завршни радови (рачунајући и израду радионичке документације, разних скица, шема и детаља)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;</w:t>
      </w:r>
    </w:p>
    <w:p w:rsidR="006C0038" w:rsidRPr="006C0038" w:rsidRDefault="006C0038" w:rsidP="001F1A76">
      <w:pPr>
        <w:pStyle w:val="ListParagraph"/>
        <w:numPr>
          <w:ilvl w:val="0"/>
          <w:numId w:val="25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сав спољни и унутрашњи транспорт материјала, елемената до места уграђивања, осим у случајевима када то предмером није посебно предвиђено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;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1F1A76">
      <w:pPr>
        <w:pStyle w:val="ListParagraph"/>
        <w:numPr>
          <w:ilvl w:val="0"/>
          <w:numId w:val="25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све потребне помоћне скеле за транспорт и разношење материјала до објекта, по објекту и уз објекат, за бетонирање, монтажу и занатске ра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дове;</w:t>
      </w:r>
    </w:p>
    <w:p w:rsidR="006C0038" w:rsidRPr="006C0038" w:rsidRDefault="006C0038" w:rsidP="001F1A76">
      <w:pPr>
        <w:pStyle w:val="ListParagraph"/>
        <w:numPr>
          <w:ilvl w:val="0"/>
          <w:numId w:val="25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све мере заштите пролазника (ограде, завесе, пешачки тунели)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;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1F1A76">
      <w:pPr>
        <w:pStyle w:val="ListParagraph"/>
        <w:numPr>
          <w:ilvl w:val="0"/>
          <w:numId w:val="25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све технолошке и заштитне мере за извођење радова на ниским и високим температурама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;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1F1A76" w:rsidRDefault="006C0038" w:rsidP="001F1A76">
      <w:pPr>
        <w:pStyle w:val="ListParagraph"/>
        <w:numPr>
          <w:ilvl w:val="0"/>
          <w:numId w:val="25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свакодневно чишћење радне површине од о</w:t>
      </w:r>
      <w:r w:rsidRPr="006C0038">
        <w:rPr>
          <w:rFonts w:eastAsia="Calibri" w:cs="Times New Roman"/>
          <w:noProof/>
          <w:sz w:val="24"/>
          <w:szCs w:val="24"/>
          <w:lang w:val="sr-Cyrl-RS"/>
        </w:rPr>
        <w:t>т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>падака и шута са одвозом са градилишта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;</w:t>
      </w:r>
    </w:p>
    <w:p w:rsidR="006C0038" w:rsidRPr="006C0038" w:rsidRDefault="001F1A76" w:rsidP="001F1A76">
      <w:pPr>
        <w:pStyle w:val="ListParagraph"/>
        <w:numPr>
          <w:ilvl w:val="0"/>
          <w:numId w:val="25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>трошкови осигура</w:t>
      </w:r>
      <w:r>
        <w:rPr>
          <w:rFonts w:eastAsia="Calibri" w:cs="Times New Roman"/>
          <w:noProof/>
          <w:sz w:val="24"/>
          <w:szCs w:val="24"/>
          <w:lang w:val="sr-Cyrl-CS"/>
        </w:rPr>
        <w:t>ња;</w:t>
      </w:r>
    </w:p>
    <w:p w:rsidR="006C0038" w:rsidRPr="006C0038" w:rsidRDefault="001F1A76" w:rsidP="001F1A76">
      <w:pPr>
        <w:pStyle w:val="ListParagraph"/>
        <w:numPr>
          <w:ilvl w:val="0"/>
          <w:numId w:val="25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је дужан да изведене радове чува и по потреби заштити од атмосферских утицаја до примопредаје објекта</w:t>
      </w:r>
      <w:r>
        <w:rPr>
          <w:rFonts w:eastAsia="Calibri" w:cs="Times New Roman"/>
          <w:noProof/>
          <w:sz w:val="24"/>
          <w:szCs w:val="24"/>
          <w:lang w:val="sr-Cyrl-CS"/>
        </w:rPr>
        <w:t>;</w:t>
      </w:r>
      <w:r w:rsidR="006C0038"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1F1A76">
      <w:pPr>
        <w:pStyle w:val="ListParagraph"/>
        <w:numPr>
          <w:ilvl w:val="0"/>
          <w:numId w:val="25"/>
        </w:numPr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завршно чишћење објекта са чишћењем свих површина.</w:t>
      </w: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sz w:val="24"/>
          <w:szCs w:val="24"/>
          <w:lang w:val="sr-Cyrl-CS"/>
        </w:rPr>
      </w:pPr>
    </w:p>
    <w:p w:rsidR="001F1A76" w:rsidRDefault="006C0038" w:rsidP="00DE3AD2">
      <w:pPr>
        <w:ind w:left="709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Све фазе радова морају се из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водити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координирано уз предузимање мера заштите изведених фаза радова ради заштите од могућих оштећења приликом извођења наредних фаза. </w:t>
      </w:r>
    </w:p>
    <w:p w:rsidR="006C0038" w:rsidRPr="006C0038" w:rsidRDefault="006C0038" w:rsidP="00DE3AD2">
      <w:pPr>
        <w:ind w:left="709"/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Никакви трошкови поправки оштећених, те штемовања или рушења погрешно изведених радова, неће се признавати. </w:t>
      </w: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sz w:val="24"/>
          <w:szCs w:val="24"/>
          <w:lang w:val="sr-Cyrl-CS"/>
        </w:rPr>
      </w:pP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sz w:val="24"/>
          <w:szCs w:val="24"/>
          <w:lang w:val="sr-Cyrl-CS"/>
        </w:rPr>
      </w:pPr>
    </w:p>
    <w:p w:rsidR="006C0038" w:rsidRPr="001F1A76" w:rsidRDefault="001F1A76" w:rsidP="001F1A76">
      <w:pPr>
        <w:jc w:val="both"/>
        <w:rPr>
          <w:rFonts w:eastAsia="Calibri" w:cs="Times New Roman"/>
          <w:bCs/>
          <w:noProof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noProof/>
          <w:sz w:val="24"/>
          <w:szCs w:val="24"/>
          <w:lang w:val="sr-Cyrl-CS"/>
        </w:rPr>
        <w:tab/>
      </w:r>
      <w:r w:rsidRPr="001F1A76">
        <w:rPr>
          <w:rFonts w:eastAsia="Calibri" w:cs="Times New Roman"/>
          <w:bCs/>
          <w:noProof/>
          <w:sz w:val="24"/>
          <w:szCs w:val="24"/>
          <w:u w:val="single"/>
          <w:lang w:val="sr-Cyrl-CS"/>
        </w:rPr>
        <w:t>Обавезе Наручиоца</w:t>
      </w:r>
    </w:p>
    <w:p w:rsidR="006C0038" w:rsidRPr="001F1A76" w:rsidRDefault="001F1A76" w:rsidP="001F1A76">
      <w:pPr>
        <w:pStyle w:val="ListParagraph"/>
        <w:numPr>
          <w:ilvl w:val="0"/>
          <w:numId w:val="28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>
        <w:rPr>
          <w:rFonts w:eastAsia="Calibri" w:cs="Times New Roman"/>
          <w:noProof/>
          <w:sz w:val="24"/>
          <w:szCs w:val="24"/>
          <w:lang w:val="sr-Cyrl-CS"/>
        </w:rPr>
        <w:t>да приликом закључења у</w:t>
      </w:r>
      <w:r w:rsidR="006C0038" w:rsidRPr="001F1A76">
        <w:rPr>
          <w:rFonts w:eastAsia="Calibri" w:cs="Times New Roman"/>
          <w:noProof/>
          <w:sz w:val="24"/>
          <w:szCs w:val="24"/>
          <w:lang w:val="sr-Cyrl-CS"/>
        </w:rPr>
        <w:t>говора</w:t>
      </w:r>
      <w:r>
        <w:rPr>
          <w:rFonts w:eastAsia="Calibri" w:cs="Times New Roman"/>
          <w:noProof/>
          <w:sz w:val="24"/>
          <w:szCs w:val="24"/>
          <w:lang w:val="sr-Cyrl-CS"/>
        </w:rPr>
        <w:t xml:space="preserve"> о јавној набавци</w:t>
      </w:r>
      <w:r w:rsidR="006C0038" w:rsidRPr="001F1A76">
        <w:rPr>
          <w:rFonts w:eastAsia="Calibri" w:cs="Times New Roman"/>
          <w:noProof/>
          <w:sz w:val="24"/>
          <w:szCs w:val="24"/>
          <w:lang w:val="sr-Cyrl-CS"/>
        </w:rPr>
        <w:t xml:space="preserve">, </w:t>
      </w:r>
      <w:r>
        <w:rPr>
          <w:rFonts w:eastAsia="Calibri" w:cs="Times New Roman"/>
          <w:noProof/>
          <w:sz w:val="24"/>
          <w:szCs w:val="24"/>
          <w:lang w:val="sr-Cyrl-CS"/>
        </w:rPr>
        <w:t>понуђачу</w:t>
      </w:r>
      <w:r w:rsidR="006C0038" w:rsidRPr="001F1A76">
        <w:rPr>
          <w:rFonts w:eastAsia="Calibri" w:cs="Times New Roman"/>
          <w:noProof/>
          <w:sz w:val="24"/>
          <w:szCs w:val="24"/>
          <w:lang w:val="sr-Cyrl-CS"/>
        </w:rPr>
        <w:t xml:space="preserve"> преда инвестиционо-техничку документацију и грађевинску дозволу; </w:t>
      </w:r>
    </w:p>
    <w:p w:rsidR="006C0038" w:rsidRPr="001F1A76" w:rsidRDefault="006C0038" w:rsidP="001F1A76">
      <w:pPr>
        <w:pStyle w:val="ListParagraph"/>
        <w:numPr>
          <w:ilvl w:val="0"/>
          <w:numId w:val="28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1F1A76">
        <w:rPr>
          <w:rFonts w:eastAsia="Calibri" w:cs="Times New Roman"/>
          <w:noProof/>
          <w:sz w:val="24"/>
          <w:szCs w:val="24"/>
          <w:lang w:val="sr-Cyrl-CS"/>
        </w:rPr>
        <w:t xml:space="preserve">да најкасније 15 дана од закључења 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у</w:t>
      </w:r>
      <w:r w:rsidR="001F1A76" w:rsidRPr="001F1A76">
        <w:rPr>
          <w:rFonts w:eastAsia="Calibri" w:cs="Times New Roman"/>
          <w:noProof/>
          <w:sz w:val="24"/>
          <w:szCs w:val="24"/>
          <w:lang w:val="sr-Cyrl-CS"/>
        </w:rPr>
        <w:t>говора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 xml:space="preserve"> о јавној набавци</w:t>
      </w:r>
      <w:r w:rsidRPr="001F1A76">
        <w:rPr>
          <w:rFonts w:eastAsia="Calibri" w:cs="Times New Roman"/>
          <w:noProof/>
          <w:sz w:val="24"/>
          <w:szCs w:val="24"/>
          <w:lang w:val="sr-Cyrl-CS"/>
        </w:rPr>
        <w:t xml:space="preserve"> достави надлежној инспекцији рада пријаву градилишта, а копију пријаве постави на видно место на градилишту; </w:t>
      </w:r>
    </w:p>
    <w:p w:rsidR="006C0038" w:rsidRPr="001F1A76" w:rsidRDefault="006C0038" w:rsidP="001F1A76">
      <w:pPr>
        <w:pStyle w:val="ListParagraph"/>
        <w:numPr>
          <w:ilvl w:val="0"/>
          <w:numId w:val="28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1F1A76">
        <w:rPr>
          <w:rFonts w:eastAsia="Calibri" w:cs="Times New Roman"/>
          <w:noProof/>
          <w:sz w:val="24"/>
          <w:szCs w:val="24"/>
          <w:lang w:val="sr-Cyrl-CS"/>
        </w:rPr>
        <w:t xml:space="preserve">да 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понуђача</w:t>
      </w:r>
      <w:r w:rsidRPr="001F1A76">
        <w:rPr>
          <w:rFonts w:eastAsia="Calibri" w:cs="Times New Roman"/>
          <w:noProof/>
          <w:sz w:val="24"/>
          <w:szCs w:val="24"/>
          <w:lang w:val="sr-Cyrl-CS"/>
        </w:rPr>
        <w:t xml:space="preserve"> уведе у посао као и да му обезбеди несметан прилаз градилишту; </w:t>
      </w:r>
    </w:p>
    <w:p w:rsidR="006C0038" w:rsidRPr="001F1A76" w:rsidRDefault="006C0038" w:rsidP="001F1A76">
      <w:pPr>
        <w:pStyle w:val="ListParagraph"/>
        <w:numPr>
          <w:ilvl w:val="0"/>
          <w:numId w:val="28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1F1A76">
        <w:rPr>
          <w:rFonts w:eastAsia="Calibri" w:cs="Times New Roman"/>
          <w:noProof/>
          <w:sz w:val="24"/>
          <w:szCs w:val="24"/>
          <w:lang w:val="sr-Cyrl-CS"/>
        </w:rPr>
        <w:t>да пре почетка рада на градилишту писменим актом одреди координатора за безбедност и здравље на раду у фази извођења радова и да обезбеди израду Плана превентивних мера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.</w:t>
      </w:r>
    </w:p>
    <w:p w:rsidR="006C0038" w:rsidRPr="006C0038" w:rsidRDefault="006C0038" w:rsidP="00DE3AD2">
      <w:pPr>
        <w:pStyle w:val="ListParagraph"/>
        <w:ind w:left="993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6C0038" w:rsidRPr="001F1A76" w:rsidRDefault="006C0038" w:rsidP="001F1A76">
      <w:pPr>
        <w:ind w:firstLine="708"/>
        <w:jc w:val="both"/>
        <w:rPr>
          <w:rFonts w:eastAsia="Calibri" w:cs="Times New Roman"/>
          <w:b/>
          <w:bCs/>
          <w:noProof/>
          <w:sz w:val="24"/>
          <w:szCs w:val="24"/>
          <w:lang w:val="sr-Cyrl-CS"/>
        </w:rPr>
      </w:pPr>
      <w:r w:rsidRPr="001F1A76">
        <w:rPr>
          <w:rFonts w:eastAsia="Calibri" w:cs="Times New Roman"/>
          <w:b/>
          <w:bCs/>
          <w:noProof/>
          <w:sz w:val="24"/>
          <w:szCs w:val="24"/>
          <w:lang w:val="sr-Cyrl-CS"/>
        </w:rPr>
        <w:t>Стручни надзор</w:t>
      </w:r>
    </w:p>
    <w:p w:rsidR="006C0038" w:rsidRPr="006C0038" w:rsidRDefault="006C0038" w:rsidP="00DE3AD2">
      <w:pPr>
        <w:pStyle w:val="ListParagraph"/>
        <w:ind w:left="993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1F1A76" w:rsidRDefault="006C0038" w:rsidP="001F1A76">
      <w:pPr>
        <w:ind w:left="708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1F1A76">
        <w:rPr>
          <w:rFonts w:eastAsia="Calibri" w:cs="Times New Roman"/>
          <w:noProof/>
          <w:sz w:val="24"/>
          <w:szCs w:val="24"/>
          <w:lang w:val="sr-Cyrl-CS"/>
        </w:rPr>
        <w:t xml:space="preserve">Наручилац ће писмено обавестити 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понуђача</w:t>
      </w:r>
      <w:r w:rsidRPr="001F1A76">
        <w:rPr>
          <w:rFonts w:eastAsia="Calibri" w:cs="Times New Roman"/>
          <w:noProof/>
          <w:sz w:val="24"/>
          <w:szCs w:val="24"/>
          <w:lang w:val="sr-Cyrl-CS"/>
        </w:rPr>
        <w:t xml:space="preserve"> о лицима која ће вршити стручни надзор уз обавезно достављање решења о вршењу надзора, фотокопија лиценци и контакт телефона надзорних органа.  </w:t>
      </w:r>
    </w:p>
    <w:p w:rsidR="001F1A76" w:rsidRDefault="001F1A76" w:rsidP="001F1A76">
      <w:pPr>
        <w:ind w:left="708"/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6C0038" w:rsidRPr="001F1A76" w:rsidRDefault="006C0038" w:rsidP="001F1A76">
      <w:pPr>
        <w:ind w:left="708"/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1F1A76">
        <w:rPr>
          <w:rFonts w:eastAsia="Calibri" w:cs="Times New Roman"/>
          <w:noProof/>
          <w:sz w:val="24"/>
          <w:szCs w:val="24"/>
          <w:lang w:val="sr-Cyrl-CS"/>
        </w:rPr>
        <w:t xml:space="preserve">Стручним надзором се обезбеђује: </w:t>
      </w:r>
    </w:p>
    <w:p w:rsidR="006C0038" w:rsidRPr="006C0038" w:rsidRDefault="006C0038" w:rsidP="001F1A76">
      <w:pPr>
        <w:pStyle w:val="ListParagraph"/>
        <w:numPr>
          <w:ilvl w:val="0"/>
          <w:numId w:val="30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контрола да ли се радови изводе према одобрењу за изградњу и техничкој документацији на основу које је извршена пријава почетка радова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;</w:t>
      </w:r>
    </w:p>
    <w:p w:rsidR="006C0038" w:rsidRPr="006C0038" w:rsidRDefault="006C0038" w:rsidP="001F1A76">
      <w:pPr>
        <w:pStyle w:val="ListParagraph"/>
        <w:numPr>
          <w:ilvl w:val="0"/>
          <w:numId w:val="30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контрола и провера квалитета извођења свих врста радова и примену прописа, стандарда и техничких норматива, те контролу количина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 xml:space="preserve"> према пројектној документацији;</w:t>
      </w:r>
    </w:p>
    <w:p w:rsidR="006C0038" w:rsidRPr="006C0038" w:rsidRDefault="006C0038" w:rsidP="001F1A76">
      <w:pPr>
        <w:pStyle w:val="ListParagraph"/>
        <w:numPr>
          <w:ilvl w:val="0"/>
          <w:numId w:val="30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>провера да ли постоје докази о квалитету материјала (атести)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;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1F1A76">
      <w:pPr>
        <w:pStyle w:val="ListParagraph"/>
        <w:numPr>
          <w:ilvl w:val="0"/>
          <w:numId w:val="30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lastRenderedPageBreak/>
        <w:t>контрола да ли се радови изводе према уговореној динамици о чему ће благовремено обавештавати Наручиоца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;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1F1A76">
      <w:pPr>
        <w:pStyle w:val="ListParagraph"/>
        <w:numPr>
          <w:ilvl w:val="0"/>
          <w:numId w:val="30"/>
        </w:numPr>
        <w:jc w:val="both"/>
        <w:rPr>
          <w:rFonts w:eastAsia="Calibri" w:cs="Times New Roman"/>
          <w:noProof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давање упутстава 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понуђачу;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1F1A76">
      <w:pPr>
        <w:pStyle w:val="ListParagraph"/>
        <w:numPr>
          <w:ilvl w:val="0"/>
          <w:numId w:val="30"/>
        </w:numPr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сарадња са 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понуђачем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ради 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обезбеђивања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технолошких и организационих решења за извођење радова и решавање других питања која се појаве у току извођења радова</w:t>
      </w:r>
      <w:r w:rsidR="001F1A76">
        <w:rPr>
          <w:rFonts w:eastAsia="Calibri" w:cs="Times New Roman"/>
          <w:noProof/>
          <w:sz w:val="24"/>
          <w:szCs w:val="24"/>
          <w:lang w:val="sr-Cyrl-CS"/>
        </w:rPr>
        <w:t>.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</w:p>
    <w:p w:rsidR="006C0038" w:rsidRPr="006C0038" w:rsidRDefault="006C0038" w:rsidP="00DE3AD2">
      <w:pPr>
        <w:pStyle w:val="ListParagraph"/>
        <w:ind w:left="993"/>
        <w:jc w:val="both"/>
        <w:rPr>
          <w:rFonts w:eastAsia="Calibri" w:cs="Times New Roman"/>
          <w:sz w:val="24"/>
          <w:szCs w:val="24"/>
          <w:lang w:val="sr-Cyrl-CS"/>
        </w:rPr>
      </w:pP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  <w:r w:rsidRPr="006C0038">
        <w:rPr>
          <w:rFonts w:eastAsia="Calibri" w:cs="Times New Roman"/>
          <w:b/>
          <w:bCs/>
          <w:sz w:val="24"/>
          <w:szCs w:val="24"/>
          <w:lang w:val="sr-Cyrl-CS"/>
        </w:rPr>
        <w:t>Технички преглед објекта</w:t>
      </w: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sz w:val="24"/>
          <w:szCs w:val="24"/>
          <w:lang w:val="sr-Cyrl-CS"/>
        </w:rPr>
      </w:pPr>
    </w:p>
    <w:p w:rsidR="006C0038" w:rsidRDefault="006C0038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RS"/>
        </w:rPr>
      </w:pP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За технички преглед објекта </w:t>
      </w:r>
      <w:r w:rsidR="000E5C86"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је дужан да благовремено припреми и да на увид Наручиоцу и надзорном органу сву потребну документацију у складу са прописима</w:t>
      </w:r>
      <w:r w:rsidRPr="006C0038">
        <w:rPr>
          <w:rFonts w:eastAsia="Calibri" w:cs="Times New Roman"/>
          <w:noProof/>
          <w:sz w:val="24"/>
          <w:szCs w:val="24"/>
          <w:lang w:val="sr-Latn-RS"/>
        </w:rPr>
        <w:t xml:space="preserve">, </w:t>
      </w:r>
      <w:r w:rsidRPr="006C0038">
        <w:rPr>
          <w:rFonts w:eastAsia="Calibri" w:cs="Times New Roman"/>
          <w:noProof/>
          <w:sz w:val="24"/>
          <w:szCs w:val="24"/>
          <w:lang w:val="sr-Cyrl-RS"/>
        </w:rPr>
        <w:t>а дужан је и да учествује у раду Комисије за технички преглед и да поступи по свим захтевима те Комисије.</w:t>
      </w:r>
    </w:p>
    <w:p w:rsidR="000E5C86" w:rsidRPr="006C0038" w:rsidRDefault="000E5C86" w:rsidP="00DE3AD2">
      <w:pPr>
        <w:pStyle w:val="ListParagraph"/>
        <w:jc w:val="both"/>
        <w:rPr>
          <w:rFonts w:eastAsia="Calibri" w:cs="Times New Roman"/>
          <w:noProof/>
          <w:sz w:val="24"/>
          <w:szCs w:val="24"/>
          <w:lang w:val="sr-Cyrl-RS"/>
        </w:rPr>
      </w:pPr>
    </w:p>
    <w:p w:rsidR="000E5C86" w:rsidRDefault="006C0038" w:rsidP="00DE3AD2">
      <w:pPr>
        <w:pStyle w:val="ListParagraph"/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sz w:val="24"/>
          <w:szCs w:val="24"/>
          <w:lang w:val="sr-Cyrl-CS"/>
        </w:rPr>
        <w:t xml:space="preserve">Уколико Комисија за технички преглед у свом извештају констатује примедбе на изведене радове, </w:t>
      </w:r>
      <w:r w:rsidR="000E5C86"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Pr="006C0038">
        <w:rPr>
          <w:rFonts w:eastAsia="Calibri" w:cs="Times New Roman"/>
          <w:sz w:val="24"/>
          <w:szCs w:val="24"/>
          <w:lang w:val="sr-Cyrl-CS"/>
        </w:rPr>
        <w:t xml:space="preserve"> је у обавези да их отклони у року који предложи комисија. </w:t>
      </w:r>
    </w:p>
    <w:p w:rsidR="000E5C86" w:rsidRDefault="000E5C86" w:rsidP="00DE3AD2">
      <w:pPr>
        <w:pStyle w:val="ListParagraph"/>
        <w:jc w:val="both"/>
        <w:rPr>
          <w:rFonts w:eastAsia="Calibri" w:cs="Times New Roman"/>
          <w:sz w:val="24"/>
          <w:szCs w:val="24"/>
          <w:lang w:val="sr-Cyrl-CS"/>
        </w:rPr>
      </w:pPr>
    </w:p>
    <w:p w:rsidR="000E5C86" w:rsidRDefault="006C0038" w:rsidP="00DE3AD2">
      <w:pPr>
        <w:pStyle w:val="ListParagraph"/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sz w:val="24"/>
          <w:szCs w:val="24"/>
          <w:lang w:val="sr-Cyrl-CS"/>
        </w:rPr>
        <w:t xml:space="preserve">По добијању позитивног извештаја комисије за технички преглед, Наручилац и </w:t>
      </w:r>
      <w:r w:rsidR="000E5C86">
        <w:rPr>
          <w:rFonts w:eastAsia="Calibri" w:cs="Times New Roman"/>
          <w:noProof/>
          <w:sz w:val="24"/>
          <w:szCs w:val="24"/>
          <w:lang w:val="sr-Cyrl-CS"/>
        </w:rPr>
        <w:t>понуђач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 </w:t>
      </w:r>
      <w:r w:rsidRPr="006C0038">
        <w:rPr>
          <w:rFonts w:eastAsia="Calibri" w:cs="Times New Roman"/>
          <w:sz w:val="24"/>
          <w:szCs w:val="24"/>
          <w:lang w:val="sr-Cyrl-CS"/>
        </w:rPr>
        <w:t xml:space="preserve">ће без одлагања, а најкасније у року од </w:t>
      </w:r>
      <w:r w:rsidR="000E5C86">
        <w:rPr>
          <w:rFonts w:eastAsia="Calibri" w:cs="Times New Roman"/>
          <w:sz w:val="24"/>
          <w:szCs w:val="24"/>
          <w:lang w:val="sr-Cyrl-CS"/>
        </w:rPr>
        <w:t>седам</w:t>
      </w:r>
      <w:r w:rsidRPr="006C0038">
        <w:rPr>
          <w:rFonts w:eastAsia="Calibri" w:cs="Times New Roman"/>
          <w:sz w:val="24"/>
          <w:szCs w:val="24"/>
          <w:lang w:val="sr-Cyrl-CS"/>
        </w:rPr>
        <w:t xml:space="preserve"> дана приступити примопредаји и коначном обрачуну изведених радова. </w:t>
      </w:r>
    </w:p>
    <w:p w:rsidR="000E5C86" w:rsidRDefault="000E5C86" w:rsidP="00DE3AD2">
      <w:pPr>
        <w:pStyle w:val="ListParagraph"/>
        <w:jc w:val="both"/>
        <w:rPr>
          <w:rFonts w:eastAsia="Calibri" w:cs="Times New Roman"/>
          <w:sz w:val="24"/>
          <w:szCs w:val="24"/>
          <w:lang w:val="sr-Cyrl-CS"/>
        </w:rPr>
      </w:pPr>
    </w:p>
    <w:p w:rsidR="006C0038" w:rsidRPr="006C0038" w:rsidRDefault="006C0038" w:rsidP="00DE3AD2">
      <w:pPr>
        <w:pStyle w:val="ListParagraph"/>
        <w:jc w:val="both"/>
        <w:rPr>
          <w:rFonts w:eastAsia="Calibri" w:cs="Times New Roman"/>
          <w:sz w:val="24"/>
          <w:szCs w:val="24"/>
          <w:lang w:val="sr-Cyrl-CS"/>
        </w:rPr>
      </w:pPr>
      <w:r w:rsidRPr="006C0038">
        <w:rPr>
          <w:rFonts w:eastAsia="Calibri" w:cs="Times New Roman"/>
          <w:sz w:val="24"/>
          <w:szCs w:val="24"/>
          <w:lang w:val="sr-Cyrl-CS"/>
        </w:rPr>
        <w:t xml:space="preserve">Записник о примопредаји изведених радова потписују Наручилац, </w:t>
      </w:r>
      <w:r w:rsidRPr="006C0038">
        <w:rPr>
          <w:rFonts w:eastAsia="Calibri" w:cs="Times New Roman"/>
          <w:noProof/>
          <w:sz w:val="24"/>
          <w:szCs w:val="24"/>
          <w:lang w:val="sr-Cyrl-CS"/>
        </w:rPr>
        <w:t xml:space="preserve">Извођач радова </w:t>
      </w:r>
      <w:r w:rsidRPr="006C0038">
        <w:rPr>
          <w:rFonts w:eastAsia="Calibri" w:cs="Times New Roman"/>
          <w:sz w:val="24"/>
          <w:szCs w:val="24"/>
          <w:lang w:val="sr-Cyrl-CS"/>
        </w:rPr>
        <w:t>и Надзорни орган.</w:t>
      </w:r>
    </w:p>
    <w:p w:rsidR="006C0038" w:rsidRPr="006C0038" w:rsidRDefault="006C0038" w:rsidP="00DE3AD2">
      <w:pPr>
        <w:ind w:firstLine="709"/>
        <w:jc w:val="both"/>
        <w:rPr>
          <w:rFonts w:eastAsia="Calibri" w:cs="Times New Roman"/>
          <w:b/>
          <w:bCs/>
          <w:sz w:val="24"/>
          <w:szCs w:val="24"/>
          <w:lang w:val="sr-Cyrl-RS"/>
        </w:rPr>
      </w:pPr>
    </w:p>
    <w:p w:rsidR="006C0038" w:rsidRPr="006C0038" w:rsidRDefault="006C0038" w:rsidP="00DE3AD2">
      <w:pPr>
        <w:ind w:firstLine="709"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</w:p>
    <w:p w:rsidR="006C0038" w:rsidRPr="002560E6" w:rsidRDefault="002560E6" w:rsidP="00DE3AD2">
      <w:pPr>
        <w:pStyle w:val="ListParagraph"/>
        <w:jc w:val="both"/>
        <w:rPr>
          <w:rFonts w:eastAsia="Calibri" w:cs="Times New Roman"/>
          <w:b/>
          <w:sz w:val="24"/>
          <w:szCs w:val="24"/>
          <w:lang w:val="sr-Cyrl-RS"/>
        </w:rPr>
      </w:pPr>
      <w:r w:rsidRPr="002560E6">
        <w:rPr>
          <w:rFonts w:eastAsia="Calibri" w:cs="Times New Roman"/>
          <w:b/>
          <w:sz w:val="24"/>
          <w:szCs w:val="24"/>
          <w:lang w:val="sr-Cyrl-RS"/>
        </w:rPr>
        <w:t xml:space="preserve">Предмер </w:t>
      </w:r>
      <w:r>
        <w:rPr>
          <w:rFonts w:eastAsia="Calibri" w:cs="Times New Roman"/>
          <w:b/>
          <w:sz w:val="24"/>
          <w:szCs w:val="24"/>
          <w:lang w:val="sr-Cyrl-RS"/>
        </w:rPr>
        <w:t xml:space="preserve">(опис) </w:t>
      </w:r>
      <w:r w:rsidRPr="002560E6">
        <w:rPr>
          <w:rFonts w:eastAsia="Calibri" w:cs="Times New Roman"/>
          <w:b/>
          <w:sz w:val="24"/>
          <w:szCs w:val="24"/>
          <w:lang w:val="sr-Cyrl-RS"/>
        </w:rPr>
        <w:t>радова</w:t>
      </w:r>
      <w:r w:rsidR="00DC34A5">
        <w:rPr>
          <w:rFonts w:eastAsia="Calibri" w:cs="Times New Roman"/>
          <w:b/>
          <w:sz w:val="24"/>
          <w:szCs w:val="24"/>
          <w:lang w:val="sr-Cyrl-RS"/>
        </w:rPr>
        <w:t>:</w:t>
      </w:r>
    </w:p>
    <w:p w:rsidR="006C0038" w:rsidRPr="006C0038" w:rsidRDefault="006C0038" w:rsidP="00DE3AD2">
      <w:pPr>
        <w:jc w:val="both"/>
        <w:rPr>
          <w:rFonts w:eastAsia="Calibri" w:cs="Times New Roman"/>
          <w:noProof/>
          <w:sz w:val="24"/>
          <w:szCs w:val="24"/>
          <w:lang w:val="sr-Cyrl-CS"/>
        </w:rPr>
      </w:pPr>
    </w:p>
    <w:p w:rsidR="002560E6" w:rsidRPr="006C0038" w:rsidRDefault="002B750C" w:rsidP="00DE3AD2">
      <w:pPr>
        <w:ind w:left="737"/>
        <w:jc w:val="both"/>
        <w:rPr>
          <w:rFonts w:eastAsia="Calibri" w:cs="Times New Roman"/>
          <w:b/>
          <w:bCs/>
          <w:sz w:val="24"/>
          <w:szCs w:val="24"/>
        </w:rPr>
      </w:pPr>
      <w:r w:rsidRPr="006C0038">
        <w:rPr>
          <w:rFonts w:eastAsia="Calibri" w:cs="Times New Roman"/>
          <w:sz w:val="24"/>
          <w:szCs w:val="24"/>
        </w:rPr>
        <w:t xml:space="preserve"> </w:t>
      </w:r>
    </w:p>
    <w:tbl>
      <w:tblPr>
        <w:tblW w:w="9797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235"/>
        <w:gridCol w:w="1276"/>
        <w:gridCol w:w="1418"/>
      </w:tblGrid>
      <w:tr w:rsidR="002560E6" w:rsidTr="00DC34A5">
        <w:trPr>
          <w:trHeight w:val="9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Редни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Опис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радова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Јединица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мере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Количина</w:t>
            </w:r>
            <w:proofErr w:type="spellEnd"/>
          </w:p>
        </w:tc>
      </w:tr>
      <w:tr w:rsidR="002560E6" w:rsidTr="00DC34A5">
        <w:trPr>
          <w:trHeight w:val="31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2560E6" w:rsidTr="00DC34A5">
        <w:trPr>
          <w:trHeight w:val="88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Обележавање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системских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осовина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исколчавање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објекта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терену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m</w:t>
            </w:r>
            <w:r w:rsidRPr="0032518C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1,00</w:t>
            </w:r>
          </w:p>
        </w:tc>
      </w:tr>
      <w:tr w:rsidR="002560E6" w:rsidTr="00DC34A5">
        <w:trPr>
          <w:trHeight w:val="152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Ископ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земље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III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категорије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темељне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стопе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према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условима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из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пројектне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документације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Позиција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обухвата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планирање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машинско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набијање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постељице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модула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стишљивости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Ms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=15 MPa.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Ископани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материјал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одложити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градилишну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депонију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m</w:t>
            </w:r>
            <w:r w:rsidRPr="0032518C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самониклог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тла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65,00</w:t>
            </w:r>
          </w:p>
        </w:tc>
      </w:tr>
      <w:tr w:rsidR="002560E6" w:rsidTr="00DC34A5">
        <w:trPr>
          <w:trHeight w:val="81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Насипање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набијање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песка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око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темељних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стопа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m3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насутог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песка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збијеном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стању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33,00</w:t>
            </w:r>
          </w:p>
        </w:tc>
      </w:tr>
      <w:tr w:rsidR="002560E6" w:rsidTr="00DC34A5">
        <w:trPr>
          <w:trHeight w:val="10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Утовар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транспорт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вишка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земље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депонију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удаљену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10 km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коју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одреди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надзорни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m</w:t>
            </w:r>
            <w:r w:rsidRPr="0032518C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ископаног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материјала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рстреситом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стању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84,50</w:t>
            </w:r>
          </w:p>
        </w:tc>
      </w:tr>
      <w:tr w:rsidR="002560E6" w:rsidTr="00DC34A5">
        <w:trPr>
          <w:trHeight w:val="153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Израда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подлоге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од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дробљеног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камена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гранулације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31.5-63 mm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испод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темељних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стопа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Разастирање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дробљеног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камена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врши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слојевима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Сваки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слој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збија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оптималној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влажности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вибрационим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средстима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збијање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m</w:t>
            </w:r>
            <w:r w:rsidRPr="0032518C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материјала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збијеном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стању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испод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темељних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стопа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дебљина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d=15 cm (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Ms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=25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Mpa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6,3</w:t>
            </w:r>
          </w:p>
        </w:tc>
      </w:tr>
      <w:tr w:rsidR="002560E6" w:rsidTr="00DC34A5">
        <w:trPr>
          <w:trHeight w:val="126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Беторнирање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темељних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стопа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бетоном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MB30, у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свему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према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пројекту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важећим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правилницима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Цена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обухвата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правилно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обликовање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страница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темељне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јаме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према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пројектованим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димензијама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или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оплату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темељне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стопе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25,52</w:t>
            </w:r>
          </w:p>
        </w:tc>
      </w:tr>
      <w:tr w:rsidR="002560E6" w:rsidTr="00DC34A5">
        <w:trPr>
          <w:trHeight w:val="12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Бетонирање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темељних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стубова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бетоном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MB30, у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свему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према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пројекту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важећим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правилницима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Уградњу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бетона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вршити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вибрирањем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Цена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обухвата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израду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потребне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оплате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cca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7 m</w:t>
            </w:r>
            <w:r w:rsidRPr="0032518C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4"/>
                <w:szCs w:val="24"/>
                <w:lang w:val="en-US"/>
              </w:rPr>
              <w:t>/m</w:t>
            </w:r>
            <w:r w:rsidRPr="0032518C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1,92</w:t>
            </w:r>
          </w:p>
        </w:tc>
      </w:tr>
      <w:tr w:rsidR="002560E6" w:rsidTr="00DC34A5">
        <w:trPr>
          <w:trHeight w:val="69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Израда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подлоге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од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неармираног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бетона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дебљине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5 cm,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испод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темељних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стопа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бетоном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MB 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42,00</w:t>
            </w:r>
          </w:p>
        </w:tc>
      </w:tr>
      <w:tr w:rsidR="002560E6" w:rsidTr="00DC34A5">
        <w:trPr>
          <w:trHeight w:val="111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Набавка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чишћење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сечење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савијање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уградња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арматуре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темеља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самаца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квалитета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RA 400/500, у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свему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према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плановима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армирања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коју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дати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пројекту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конструкције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kg.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Количина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апроксимативно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2253</w:t>
            </w:r>
          </w:p>
        </w:tc>
      </w:tr>
      <w:tr w:rsidR="002560E6" w:rsidTr="00DC34A5">
        <w:trPr>
          <w:trHeight w:val="83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Производња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анкер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блокова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транспорт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монтажа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градилишту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према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пројектној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документацији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Анкер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вијци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квалитета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S355J2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SRPS EN 10025. 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је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kg.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560E6" w:rsidTr="00DC34A5">
        <w:trPr>
          <w:trHeight w:val="16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Производња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елемената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склопова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челичне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конструкције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надстрешнице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транспорт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монтажа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градилишту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према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пројектној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документацији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Антикорозиона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заштита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која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је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укључена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цену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је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бази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алкидних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премаза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обухвата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припрема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површина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механичким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чишћењем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степана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St2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према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SRPS EN ISO 8501,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антикорозиони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премази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60 µm DFT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завршно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бојење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30 µm DFT.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kpl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13200</w:t>
            </w:r>
          </w:p>
        </w:tc>
      </w:tr>
      <w:tr w:rsidR="002560E6" w:rsidTr="00DC34A5">
        <w:trPr>
          <w:trHeight w:val="16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Набавка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материјала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допрема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монтажа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кровног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покривача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трапезног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профилисаног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челичног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пластифицираног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лима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опшивањем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одговарајућим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алуминијумским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рамом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Лимови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постављају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у 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пројектованом</w:t>
            </w:r>
            <w:proofErr w:type="spellEnd"/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паду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према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олучној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хоризонтали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Покривање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извести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пројекту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детаљима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упутству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произвођача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пројектанта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m</w:t>
            </w:r>
            <w:r w:rsidRPr="0032518C">
              <w:rPr>
                <w:rFonts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204,00</w:t>
            </w:r>
          </w:p>
        </w:tc>
      </w:tr>
      <w:tr w:rsidR="002560E6" w:rsidTr="00DC34A5">
        <w:trPr>
          <w:trHeight w:val="111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Израда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монтажа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хоризонталног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надстрешнице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r.š.50 cm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поцинкованог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пластифицираног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лима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d=0,6mm. У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цену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урачунате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куке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сав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спојни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материјал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2560E6" w:rsidTr="00DC34A5">
        <w:trPr>
          <w:trHeight w:val="9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Израда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монтажа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вертикалних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олучних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цеви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надстрешнице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r.š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50 cm,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поцинкованог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пластифицираног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лима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d=0,55mm,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заједно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обујмицама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одбојницима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34,5</w:t>
            </w:r>
          </w:p>
        </w:tc>
      </w:tr>
      <w:tr w:rsidR="002560E6" w:rsidTr="00DC34A5">
        <w:trPr>
          <w:trHeight w:val="79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6" w:rsidRDefault="002560E6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Набавка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уградња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сливника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одвођење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воде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крова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комаду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560E6" w:rsidTr="00DC34A5">
        <w:trPr>
          <w:trHeight w:val="196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0E6" w:rsidRDefault="002560E6" w:rsidP="002560E6">
            <w:pPr>
              <w:pStyle w:val="ListParagraph"/>
              <w:numPr>
                <w:ilvl w:val="0"/>
                <w:numId w:val="31"/>
              </w:numPr>
              <w:suppressAutoHyphens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Набавка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транспорт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монтажа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alu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-bond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панела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облагање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стубова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доње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стране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кровне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конструкције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Композитни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склоп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састоји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од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алуминијумска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лима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дебљине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0,5mm,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испуњен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полиетиленском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масом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Дебљина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панела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је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3mm.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Боја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панела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избору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пројектанта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Обрачун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према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количини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специфицираних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alu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-bond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панела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</w:tr>
      <w:tr w:rsidR="002560E6" w:rsidTr="00DC34A5">
        <w:trPr>
          <w:trHeight w:val="70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0E6" w:rsidRPr="0032518C" w:rsidRDefault="002560E6">
            <w:pPr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32518C">
              <w:rPr>
                <w:rFonts w:cs="Times New Roman"/>
                <w:b/>
                <w:color w:val="000000"/>
                <w:sz w:val="24"/>
                <w:szCs w:val="24"/>
              </w:rPr>
              <w:t>Испорука светиљке за функционално осветљење са LED изворима светлости.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560E6" w:rsidTr="00DC34A5">
        <w:trPr>
          <w:trHeight w:val="69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0E6" w:rsidRDefault="002560E6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Надградна водоотпорна (IP66) високоефикасна LED светиљка. Поликарбонатни опални дифузор, УВ стабилизован, LOR≥0.90. Израђено од самогасивог поликарбоната. Максимална температуре амбијента=40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⁰</w:t>
            </w:r>
            <w:r>
              <w:rPr>
                <w:rFonts w:cs="Times New Roman"/>
                <w:color w:val="000000"/>
                <w:sz w:val="24"/>
                <w:szCs w:val="24"/>
              </w:rPr>
              <w:t>C. Укупна снага светиљке: 22.0W. Температура боје светла 4000 К са индексом репродукције боје (CRI) &gt;80. Животни век лед извора светлости 60000 сати, уз услов да флукс не опадне на мање од 80% иницијалног флукса по истеку 50000 сати (L80B10). Иницијални флукс светиљке је 3682lm. Ефикасност светиљке не мања од 167lm/W. Девијација боје светла (SDCM) мања од 3. Степен бљештања светиљке UGR &lt; 25. Димензије светиљке 1277/104/84 A/B/H[mm]. Степен заштите IP66. Светиљка је сервисибилна, односно уграђени извори светла и драјвери су измењљиви према ЗХАГА стандарду. Произвођач светиљки поседује важеће сертификате: ISO 9001:2015, ISO 27001:2013 ,ISO 14001:2015, ISO 45001:2018, ISO 50001:2011. Светиљка типа TITAN 1200 /840 HE, proizvođač Buck или одговарајућа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2560E6" w:rsidTr="00DC34A5">
        <w:trPr>
          <w:trHeight w:val="128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0E6" w:rsidRPr="002560E6" w:rsidRDefault="002560E6">
            <w:pPr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Набавка, испорука, постављање и повезивање слободностојећег ормaра јавног осветљења слично типу PLA "Himel-Šnajder", са свом потребном опремем за напајање и електрични развод.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560E6" w:rsidTr="00DC34A5">
        <w:trPr>
          <w:trHeight w:val="4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PP00 4x16+2,5mm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2560E6" w:rsidTr="00DC34A5">
        <w:trPr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PP00-Y 4x1.5mm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560E6" w:rsidTr="00DC34A5">
        <w:trPr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P/F-Y 1x16mm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60E6" w:rsidTr="00DC34A5">
        <w:trPr>
          <w:trHeight w:val="5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Трака 30x4mm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630</w:t>
            </w:r>
          </w:p>
        </w:tc>
      </w:tr>
      <w:tr w:rsidR="002560E6" w:rsidTr="00DC34A5">
        <w:trPr>
          <w:trHeight w:val="51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Кабловски пластични штитници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2560E6" w:rsidTr="00DC34A5">
        <w:trPr>
          <w:trHeight w:val="6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Трака за упозорење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2560E6" w:rsidTr="00DC34A5">
        <w:trPr>
          <w:trHeight w:val="49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Туцаник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560E6" w:rsidTr="00DC34A5">
        <w:trPr>
          <w:trHeight w:val="58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Песак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560E6" w:rsidTr="00DC34A5">
        <w:trPr>
          <w:trHeight w:val="6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PVC EE црвене јувидур цеви Ø125x3.2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60E6" w:rsidTr="00DC34A5">
        <w:trPr>
          <w:trHeight w:val="6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Окитен цеви Ø80 (за потребе укрштања)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2560E6" w:rsidRDefault="002560E6">
            <w:pPr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  <w:r w:rsidRPr="002560E6">
              <w:rPr>
                <w:rFonts w:cs="Times New Roman"/>
                <w:sz w:val="24"/>
                <w:szCs w:val="24"/>
                <w:lang w:val="sr-Latn-R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560E6" w:rsidTr="00DC34A5">
        <w:trPr>
          <w:trHeight w:val="6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Траса кабла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560E6" w:rsidTr="00DC34A5">
        <w:trPr>
          <w:trHeight w:val="6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Скретање трасе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60E6" w:rsidTr="00DC34A5">
        <w:trPr>
          <w:trHeight w:val="6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Крајеви кабловских цеви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60E6" w:rsidTr="00DC34A5">
        <w:trPr>
          <w:trHeight w:val="8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0E6" w:rsidRPr="002560E6" w:rsidRDefault="002560E6">
            <w:pPr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Остали неспецифициран материјал према потребама на терену: арматура Ø16-22, редне стезаљке, пертинакс, плексиглас, кабел - папучице, завртњи, подлошке,  графитна маст, итд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560E6" w:rsidTr="00DC34A5">
        <w:trPr>
          <w:trHeight w:val="154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32518C" w:rsidRDefault="002560E6">
            <w:pPr>
              <w:jc w:val="both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32518C">
              <w:rPr>
                <w:rFonts w:cs="Times New Roman"/>
                <w:b/>
                <w:color w:val="000000"/>
                <w:sz w:val="24"/>
                <w:szCs w:val="24"/>
              </w:rPr>
              <w:t>Свака тачка овог предмера обухвата испоруку главног и набавку и испоруку свог помоћног, потребног материјала и свих потребних радова (и оно што није експлицитно наведено) да би инсталација несметано функционисала.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560E6" w:rsidTr="00DC34A5">
        <w:trPr>
          <w:trHeight w:val="18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Геометарско обележавање трасе кабловског рова и положаја канделаберских стубова. Протокол се предаје инвеститору на папиру на самом почетку радова те се може користити и за тачно одређивање дужине кабла због наруџбе. Обрачун по дужном метру трасе свих кабловских ровова. Комплет са графичком и табеларном спецификацијом површина за раскопавање (врста, локација и количине)!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2560E6" w:rsidTr="00DC34A5">
        <w:trPr>
          <w:trHeight w:val="11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Контролни ручни ископ, тзв. "шлицовање", ширине 0,4m, дужине 2m, дубине до 1m, ради тачног утврђивања положаја инсталација.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60E6" w:rsidTr="00DC34A5">
        <w:trPr>
          <w:trHeight w:val="15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Израда везе стуба и уземљивача уз помоћ укрсног комада заливеног у олово и Fe-Zn траке или Cu ужета 25mm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(између траке и Cu ужета је обавезан међукомад од олова) са или без угњечене папучице спојене за завртањ за уземљење стуба (други крај ужета). Просечна дужина вода је 2m. Обрачун по стубном месту.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560E6" w:rsidTr="00DC34A5">
        <w:trPr>
          <w:trHeight w:val="51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32518C" w:rsidRDefault="002560E6">
            <w:pPr>
              <w:jc w:val="both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32518C">
              <w:rPr>
                <w:rFonts w:cs="Times New Roman"/>
                <w:b/>
                <w:color w:val="000000"/>
                <w:sz w:val="24"/>
                <w:szCs w:val="24"/>
              </w:rPr>
              <w:t xml:space="preserve">Машински (а по потреби ручни) ископ рова дубине 1,0m у зеленој површини, испод пешачких стаза и паркинга, односно 1,2m испод саобраћајнице; изузетно на неким местима у договору са надзорним органом - дубина по потреби, у земљишту III категорије. Комплет са затрпавањем и набијањем у слојевима не дебљим од 20cm и прибављањем атеста о збијености тла (збијеност у складу са наменом површине!). Испод пешачке стазе, паркинга и саобраћајнице ров се </w:t>
            </w:r>
            <w:r w:rsidRPr="0032518C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затрпава песком. Обрачун по метрима ископа.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560E6" w:rsidTr="00DC34A5">
        <w:trPr>
          <w:trHeight w:val="51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ширина рова 0.4m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2560E6" w:rsidTr="00DC34A5">
        <w:trPr>
          <w:trHeight w:val="132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Полагање, у већ ископаном рову на дубини 90cm, поцинковане челичне траке Fe-Zn 30x4mm, у постељицу од ситне земље  дебљине 0,1m. Обрачун по дужном метру положене траке.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2560E6" w:rsidTr="00DC34A5">
        <w:trPr>
          <w:trHeight w:val="19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32518C" w:rsidRDefault="002560E6">
            <w:pPr>
              <w:spacing w:line="276" w:lineRule="auto"/>
              <w:rPr>
                <w:rFonts w:cs="Times New Roman"/>
                <w:b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32518C" w:rsidRDefault="002560E6">
            <w:pPr>
              <w:jc w:val="both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32518C">
              <w:rPr>
                <w:rFonts w:cs="Times New Roman"/>
                <w:b/>
                <w:color w:val="000000"/>
                <w:sz w:val="24"/>
                <w:szCs w:val="24"/>
              </w:rPr>
              <w:t xml:space="preserve">Полагање кабла у већ ископаном рову. Начин полагања кабла је следећи: изнад кабела се сипа ситна земља у слоју дебљине 10cm, па онда по потреби песак и туцаник (испод пута и паркинга), изнад каблова на 10cm се полажу пластични штитници. На дубини 0.4m од коте нивелете се полаже трака за упозорење. Комплет са сечењем, обрадом и означавањем крајева кабла на месту сваког стуба или места прикључка у разводном ормару, као и израдом потребних веза. Обрачун по дужном метру положеног кабла.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560E6" w:rsidTr="00DC34A5">
        <w:trPr>
          <w:trHeight w:val="51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PP00 4x16+2,5mm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2560E6" w:rsidTr="00DC34A5">
        <w:trPr>
          <w:trHeight w:val="22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Радови на спровођењу мера изједначавања електричног потенцијала. Овим  се подразумева  спајање свих металних маса, које у нормалном раду нису под напоном  (цеви, метални делови шахта, пешачке ограде моста, саобраћајне заштитне одбојне ограде...) помоћу  звездастих - зупчастих  подлошки  у јединствену галванску целину са темељним уземљивачем јавног осветљења. Комплет са свим потребним материјалом, са укрсним комадима, Cu užetom 25mm2 просечне дужине 1m и траком 25x4mm просечне дужине 2m за повезивање конструкције надстрешнице и осталих маса. Обрачун по надстрешници.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60E6" w:rsidTr="00DC34A5">
        <w:trPr>
          <w:trHeight w:val="41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Монтажа светиљки са одговарајућим сијалицама за спољашње осветљење надстрепнице долазних перона. Комплет са израдом потребних веза, а обрачун по светиљци.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2560E6" w:rsidTr="00DC34A5">
        <w:trPr>
          <w:trHeight w:val="118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32518C" w:rsidRDefault="002560E6">
            <w:pPr>
              <w:jc w:val="both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32518C">
              <w:rPr>
                <w:rFonts w:cs="Times New Roman"/>
                <w:b/>
                <w:color w:val="000000"/>
                <w:sz w:val="24"/>
                <w:szCs w:val="24"/>
              </w:rPr>
              <w:t>Израда веза између осигурача и светиљки у разделном болку на струбу надстрешнице,  кабелом PP00-Y. Обрачун по вези.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60E6" w:rsidTr="00DC34A5">
        <w:trPr>
          <w:trHeight w:val="6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PP00 - Y 4x1,5mm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/12m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2560E6" w:rsidTr="00DC34A5">
        <w:trPr>
          <w:trHeight w:val="127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Израда кабловских завршетака на надстрешници на који се прикључује новопројектована расвета. Комплет са увлачењем каблова у кутије, извођењем и означавањем натписним плочицама свих веза. Обрачун по комаду.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2560E6" w:rsidTr="00DC34A5">
        <w:trPr>
          <w:trHeight w:val="13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32518C" w:rsidRDefault="002560E6">
            <w:pPr>
              <w:jc w:val="both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32518C">
              <w:rPr>
                <w:rFonts w:cs="Times New Roman"/>
                <w:b/>
                <w:color w:val="000000"/>
                <w:sz w:val="24"/>
                <w:szCs w:val="24"/>
              </w:rPr>
              <w:t>Разбијање асфалтних, бетонских или  бехатон површина. Након завршетка радова, крпљење површина од стране извођача радова овлашћеним за ову врсту радова. Стварна количина ће се одредити на лицу места!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560E6" w:rsidTr="00DC34A5">
        <w:trPr>
          <w:trHeight w:val="6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само разбијање и опсецање - асфалт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560E6" w:rsidTr="00DC34A5">
        <w:trPr>
          <w:trHeight w:val="6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само разбијање и опсецање - 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560E6" w:rsidTr="00DC34A5">
        <w:trPr>
          <w:trHeight w:val="6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само разбијање - демонтажа - бехатон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560E6" w:rsidTr="00DC34A5">
        <w:trPr>
          <w:trHeight w:val="6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поправка бетонских површина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560E6" w:rsidTr="00DC34A5">
        <w:trPr>
          <w:trHeight w:val="6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поправка бехатон површина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560E6" w:rsidTr="00DC34A5">
        <w:trPr>
          <w:trHeight w:val="97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Довођење у исправно стање осталих бетонских (бехатон) површина - по писменом одобрењу надзорног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560E6" w:rsidTr="00DC34A5">
        <w:trPr>
          <w:trHeight w:val="100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32518C" w:rsidRDefault="002560E6">
            <w:pPr>
              <w:jc w:val="both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32518C">
              <w:rPr>
                <w:rFonts w:cs="Times New Roman"/>
                <w:b/>
                <w:color w:val="000000"/>
                <w:sz w:val="24"/>
                <w:szCs w:val="24"/>
              </w:rPr>
              <w:t>Уградња заштитних цеви - у ров или након подбушивања - на местима укрштања са другим инсталацијама, коловозом или већ како је ситуацијом приказано. Обрачун по дужном метру.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560E6" w:rsidTr="00DC34A5">
        <w:trPr>
          <w:trHeight w:val="6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EE црвене јувидур цеви Ø125x3.2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 w:rsidR="002560E6" w:rsidRPr="002560E6" w:rsidTr="00DC34A5">
        <w:trPr>
          <w:trHeight w:val="261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Израда пројекта изведеног стања (у складу са Законом о планирању и изградњи - са главном свеском и пројектом изведеног стања ЈО), по налогу надзорног органа. У пројекат изведеног стања треба унети све промене које су настале у односу на пројекат по којој је добијена грађевинска дозвола. Пројекат треба да садржи технички опис изведених радова како грађевинских тако и електро, предмер и предрачун по коначној ситуацији, грађевинску ситуацију са прецизно означеним уграђеним или постојећим ССРОЈО, напојним кабловима, стубовима и светилјкама, цртеже уграђених или постојећих свих типова стубова са конзолама.  Пројекат се испоручује укоричен у 4 примерка и једном на CD  - у DOC, XLS и DWG формату.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60E6" w:rsidTr="00DC34A5">
        <w:trPr>
          <w:trHeight w:val="79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Једна дигитална верзија пројекта изведеног стања треба да буде урађена тако да  подаци буду припремљени за коришћење у ГИСу. То значи да свако стубно место буде означено геореференцираним симболом (са тачком) и да има јединствени идентификатор. Свако стубно место треба да има следеће описне атрибуте: јединствени идентификатор стубног места, број-ознака трафо реона, врста стуба, број- ознака, тип и врста лире, боја стуба, број светилјки на стубу, типови светилјки, тип и снага сваке сијалице (посебне колоне). Ове податке доставити у ESRI SHP формату. Пре почетка радова обавезан договор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са стручним службама за IT ЗИГ-а о начину евидентирања наведених података.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komad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560E6" w:rsidTr="00DC34A5">
        <w:trPr>
          <w:trHeight w:val="211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 току полагања каблова и PVC цеви (пре затрпавања рова) снимање трасе положених каблова, заштитних цеви и стубова јавног осветлјења са израдом катастра изведеног стања. Снимак се предаје Републичком геодетском заводу за картирање и инвеститору. Инвеститору се снимак предаје на крају извођења радова - пре израде окончане ситуације, у папирној и дигиталној форми на CD у ACAD - "*.DWG" формату (са таблицом апсолутних кордината свих стубова као и преломних тачака трасе каблова). Овај снимак је основа законачни обрачун. Републичком геодетском заводу се предаје снимак ради картирања. Комплет са добијањем потврде о предатој документацији РГЗ-у. Обрачун по дужном метру трасе каблова.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2560E6" w:rsidRPr="002560E6" w:rsidTr="00DC34A5">
        <w:trPr>
          <w:trHeight w:val="79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P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Плаћање трошкова картирања Републичком геодетском заводу.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Pr="002560E6" w:rsidRDefault="002560E6">
            <w:pPr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  <w:r w:rsidRPr="002560E6">
              <w:rPr>
                <w:rFonts w:cs="Times New Roman"/>
                <w:sz w:val="24"/>
                <w:szCs w:val="24"/>
                <w:lang w:val="sr-Latn-R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P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 w:rsidRPr="002560E6">
              <w:rPr>
                <w:rFonts w:cs="Times New Roman"/>
                <w:color w:val="000000"/>
                <w:sz w:val="24"/>
                <w:szCs w:val="24"/>
                <w:lang w:val="sr-Latn-RS"/>
              </w:rPr>
              <w:t> </w:t>
            </w:r>
          </w:p>
        </w:tc>
      </w:tr>
      <w:tr w:rsidR="002560E6" w:rsidTr="00DC34A5">
        <w:trPr>
          <w:trHeight w:val="79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P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Обрачун по метру трасе каблова.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2560E6" w:rsidRPr="002560E6" w:rsidTr="00DC34A5">
        <w:trPr>
          <w:trHeight w:val="141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32518C">
            <w:pPr>
              <w:pStyle w:val="ListParagraph"/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Pr="0032518C" w:rsidRDefault="002560E6">
            <w:pPr>
              <w:jc w:val="both"/>
              <w:rPr>
                <w:rFonts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32518C">
              <w:rPr>
                <w:rFonts w:cs="Times New Roman"/>
                <w:b/>
                <w:color w:val="000000"/>
                <w:sz w:val="24"/>
                <w:szCs w:val="24"/>
              </w:rPr>
              <w:t>Испитивање каблова, других проводника и веза у инсталацији. Прибављање верификационих извештаја од надлежне установе, посебно о квалитету изолације, заштите од опасних напона додира, збијености тла и фотометријска мерења.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sr-Latn-RS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60E6" w:rsidTr="00DC34A5">
        <w:trPr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Aтести о збијености тла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560E6" w:rsidTr="00DC34A5">
        <w:trPr>
          <w:trHeight w:val="6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Eлектротехнички атести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560E6" w:rsidTr="00DC34A5">
        <w:trPr>
          <w:trHeight w:val="71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0E6" w:rsidRPr="002560E6" w:rsidRDefault="002560E6" w:rsidP="002560E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2"/>
                <w:szCs w:val="22"/>
                <w:lang w:val="sr-Latn-R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Pr="002560E6" w:rsidRDefault="002560E6">
            <w:pPr>
              <w:jc w:val="both"/>
              <w:rPr>
                <w:rFonts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Фотометријска мерењана осветљаја у прорачунским тачкама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0E6" w:rsidRDefault="002560E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4F7010" w:rsidRPr="006C0038" w:rsidRDefault="004F7010" w:rsidP="00DE3AD2">
      <w:pPr>
        <w:ind w:left="737"/>
        <w:jc w:val="both"/>
        <w:rPr>
          <w:rFonts w:eastAsia="Calibri" w:cs="Times New Roman"/>
          <w:b/>
          <w:bCs/>
          <w:sz w:val="24"/>
          <w:szCs w:val="24"/>
        </w:rPr>
      </w:pPr>
    </w:p>
    <w:sectPr w:rsidR="004F7010" w:rsidRPr="006C0038">
      <w:headerReference w:type="default" r:id="rId9"/>
      <w:pgSz w:w="11906" w:h="16838"/>
      <w:pgMar w:top="720" w:right="720" w:bottom="720" w:left="567" w:header="392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7D" w:rsidRDefault="00EF1E7D">
      <w:r>
        <w:separator/>
      </w:r>
    </w:p>
  </w:endnote>
  <w:endnote w:type="continuationSeparator" w:id="0">
    <w:p w:rsidR="00EF1E7D" w:rsidRDefault="00EF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anti Win95BT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7D" w:rsidRDefault="00EF1E7D">
      <w:r>
        <w:separator/>
      </w:r>
    </w:p>
  </w:footnote>
  <w:footnote w:type="continuationSeparator" w:id="0">
    <w:p w:rsidR="00EF1E7D" w:rsidRDefault="00EF1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10" w:rsidRDefault="002B750C">
    <w:pPr>
      <w:pStyle w:val="Header"/>
    </w:pPr>
    <w:r>
      <w:rPr>
        <w:noProof/>
        <w:lang w:val="en-US"/>
      </w:rPr>
      <w:drawing>
        <wp:inline distT="0" distB="0" distL="0" distR="0">
          <wp:extent cx="6896100" cy="847725"/>
          <wp:effectExtent l="0" t="0" r="0" b="0"/>
          <wp:docPr id="1" name="Picture 1" descr="Memo header ciril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mo header cirilic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7010" w:rsidRDefault="004F7010">
    <w:pPr>
      <w:pStyle w:val="Title"/>
      <w:ind w:right="2964" w:firstLine="2422"/>
      <w:jc w:val="left"/>
      <w:rPr>
        <w:rFonts w:ascii="Century Gothic" w:hAnsi="Century Gothic"/>
        <w:i w:val="0"/>
        <w:iCs/>
        <w:color w:val="365F91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B83"/>
    <w:multiLevelType w:val="hybridMultilevel"/>
    <w:tmpl w:val="8AAA2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6A22"/>
    <w:multiLevelType w:val="hybridMultilevel"/>
    <w:tmpl w:val="78F4C2F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17BD"/>
    <w:multiLevelType w:val="hybridMultilevel"/>
    <w:tmpl w:val="C83C42D4"/>
    <w:lvl w:ilvl="0" w:tplc="5C20B25C">
      <w:start w:val="7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8E0"/>
    <w:multiLevelType w:val="hybridMultilevel"/>
    <w:tmpl w:val="46FCB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27125"/>
    <w:multiLevelType w:val="hybridMultilevel"/>
    <w:tmpl w:val="C15805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466C3"/>
    <w:multiLevelType w:val="hybridMultilevel"/>
    <w:tmpl w:val="369A22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82CCA"/>
    <w:multiLevelType w:val="hybridMultilevel"/>
    <w:tmpl w:val="19369B50"/>
    <w:lvl w:ilvl="0" w:tplc="80B63C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123B8"/>
    <w:multiLevelType w:val="hybridMultilevel"/>
    <w:tmpl w:val="1AC0BF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D0FA9014">
      <w:numFmt w:val="bullet"/>
      <w:lvlText w:val="-"/>
      <w:lvlJc w:val="left"/>
      <w:pPr>
        <w:ind w:left="2083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36D600BF"/>
    <w:multiLevelType w:val="multilevel"/>
    <w:tmpl w:val="BF5CBCD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44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9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5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84" w:hanging="2520"/>
      </w:pPr>
    </w:lvl>
  </w:abstractNum>
  <w:abstractNum w:abstractNumId="9">
    <w:nsid w:val="379A3C41"/>
    <w:multiLevelType w:val="hybridMultilevel"/>
    <w:tmpl w:val="6E7019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0E6B"/>
    <w:multiLevelType w:val="hybridMultilevel"/>
    <w:tmpl w:val="AEA0BB1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D19EB"/>
    <w:multiLevelType w:val="hybridMultilevel"/>
    <w:tmpl w:val="E07A5A8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B335D7B"/>
    <w:multiLevelType w:val="hybridMultilevel"/>
    <w:tmpl w:val="153277B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5F6C08D6">
      <w:numFmt w:val="bullet"/>
      <w:lvlText w:val="•"/>
      <w:lvlJc w:val="left"/>
      <w:pPr>
        <w:ind w:left="1504" w:hanging="360"/>
      </w:pPr>
      <w:rPr>
        <w:rFonts w:ascii="Times New Roman" w:eastAsia="Calibr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224" w:hanging="180"/>
      </w:pPr>
    </w:lvl>
    <w:lvl w:ilvl="3" w:tplc="241A000F" w:tentative="1">
      <w:start w:val="1"/>
      <w:numFmt w:val="decimal"/>
      <w:lvlText w:val="%4."/>
      <w:lvlJc w:val="left"/>
      <w:pPr>
        <w:ind w:left="2944" w:hanging="360"/>
      </w:pPr>
    </w:lvl>
    <w:lvl w:ilvl="4" w:tplc="241A0019" w:tentative="1">
      <w:start w:val="1"/>
      <w:numFmt w:val="lowerLetter"/>
      <w:lvlText w:val="%5."/>
      <w:lvlJc w:val="left"/>
      <w:pPr>
        <w:ind w:left="3664" w:hanging="360"/>
      </w:pPr>
    </w:lvl>
    <w:lvl w:ilvl="5" w:tplc="241A001B" w:tentative="1">
      <w:start w:val="1"/>
      <w:numFmt w:val="lowerRoman"/>
      <w:lvlText w:val="%6."/>
      <w:lvlJc w:val="right"/>
      <w:pPr>
        <w:ind w:left="4384" w:hanging="180"/>
      </w:pPr>
    </w:lvl>
    <w:lvl w:ilvl="6" w:tplc="241A000F" w:tentative="1">
      <w:start w:val="1"/>
      <w:numFmt w:val="decimal"/>
      <w:lvlText w:val="%7."/>
      <w:lvlJc w:val="left"/>
      <w:pPr>
        <w:ind w:left="5104" w:hanging="360"/>
      </w:pPr>
    </w:lvl>
    <w:lvl w:ilvl="7" w:tplc="241A0019" w:tentative="1">
      <w:start w:val="1"/>
      <w:numFmt w:val="lowerLetter"/>
      <w:lvlText w:val="%8."/>
      <w:lvlJc w:val="left"/>
      <w:pPr>
        <w:ind w:left="5824" w:hanging="360"/>
      </w:pPr>
    </w:lvl>
    <w:lvl w:ilvl="8" w:tplc="2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>
    <w:nsid w:val="3B7B1102"/>
    <w:multiLevelType w:val="hybridMultilevel"/>
    <w:tmpl w:val="50286D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E7D70"/>
    <w:multiLevelType w:val="hybridMultilevel"/>
    <w:tmpl w:val="FA82DBB2"/>
    <w:lvl w:ilvl="0" w:tplc="0409000F">
      <w:start w:val="1"/>
      <w:numFmt w:val="decimal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>
    <w:nsid w:val="4E2F237D"/>
    <w:multiLevelType w:val="hybridMultilevel"/>
    <w:tmpl w:val="441429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B17E2"/>
    <w:multiLevelType w:val="hybridMultilevel"/>
    <w:tmpl w:val="53AC4094"/>
    <w:lvl w:ilvl="0" w:tplc="A710A76C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5A7049AA"/>
    <w:multiLevelType w:val="hybridMultilevel"/>
    <w:tmpl w:val="F2DC7D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477A4"/>
    <w:multiLevelType w:val="hybridMultilevel"/>
    <w:tmpl w:val="65B408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50DAA"/>
    <w:multiLevelType w:val="hybridMultilevel"/>
    <w:tmpl w:val="E856CB3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FFB6ED1"/>
    <w:multiLevelType w:val="hybridMultilevel"/>
    <w:tmpl w:val="0CF0AF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bCs/>
      </w:rPr>
    </w:lvl>
    <w:lvl w:ilvl="1" w:tplc="5F6C08D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3904BD7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D7534"/>
    <w:multiLevelType w:val="hybridMultilevel"/>
    <w:tmpl w:val="21369124"/>
    <w:lvl w:ilvl="0" w:tplc="44C482A0">
      <w:start w:val="6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80374"/>
    <w:multiLevelType w:val="hybridMultilevel"/>
    <w:tmpl w:val="8B0238D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C77D9"/>
    <w:multiLevelType w:val="hybridMultilevel"/>
    <w:tmpl w:val="263E5E40"/>
    <w:lvl w:ilvl="0" w:tplc="2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07D33CB"/>
    <w:multiLevelType w:val="hybridMultilevel"/>
    <w:tmpl w:val="54C2EB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77905"/>
    <w:multiLevelType w:val="multilevel"/>
    <w:tmpl w:val="2F148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72EF79D0"/>
    <w:multiLevelType w:val="hybridMultilevel"/>
    <w:tmpl w:val="8C3C5292"/>
    <w:lvl w:ilvl="0" w:tplc="58C4EBBA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5F6C08D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3904BD7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4F9E"/>
    <w:multiLevelType w:val="hybridMultilevel"/>
    <w:tmpl w:val="F954A298"/>
    <w:lvl w:ilvl="0" w:tplc="3BD2660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765B5E4D"/>
    <w:multiLevelType w:val="hybridMultilevel"/>
    <w:tmpl w:val="00FAE3E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>
    <w:nsid w:val="77641913"/>
    <w:multiLevelType w:val="hybridMultilevel"/>
    <w:tmpl w:val="5F4C778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7CFC2AEE"/>
    <w:multiLevelType w:val="hybridMultilevel"/>
    <w:tmpl w:val="3A8E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3"/>
  </w:num>
  <w:num w:numId="5">
    <w:abstractNumId w:val="4"/>
  </w:num>
  <w:num w:numId="6">
    <w:abstractNumId w:val="22"/>
  </w:num>
  <w:num w:numId="7">
    <w:abstractNumId w:val="1"/>
  </w:num>
  <w:num w:numId="8">
    <w:abstractNumId w:val="10"/>
  </w:num>
  <w:num w:numId="9">
    <w:abstractNumId w:val="24"/>
  </w:num>
  <w:num w:numId="10">
    <w:abstractNumId w:val="15"/>
  </w:num>
  <w:num w:numId="11">
    <w:abstractNumId w:val="18"/>
  </w:num>
  <w:num w:numId="12">
    <w:abstractNumId w:val="17"/>
  </w:num>
  <w:num w:numId="13">
    <w:abstractNumId w:val="13"/>
  </w:num>
  <w:num w:numId="14">
    <w:abstractNumId w:val="9"/>
  </w:num>
  <w:num w:numId="15">
    <w:abstractNumId w:val="23"/>
  </w:num>
  <w:num w:numId="16">
    <w:abstractNumId w:val="26"/>
  </w:num>
  <w:num w:numId="17">
    <w:abstractNumId w:val="21"/>
  </w:num>
  <w:num w:numId="18">
    <w:abstractNumId w:val="2"/>
  </w:num>
  <w:num w:numId="19">
    <w:abstractNumId w:val="5"/>
  </w:num>
  <w:num w:numId="20">
    <w:abstractNumId w:val="6"/>
  </w:num>
  <w:num w:numId="21">
    <w:abstractNumId w:val="27"/>
  </w:num>
  <w:num w:numId="22">
    <w:abstractNumId w:val="16"/>
  </w:num>
  <w:num w:numId="23">
    <w:abstractNumId w:val="7"/>
  </w:num>
  <w:num w:numId="24">
    <w:abstractNumId w:val="30"/>
  </w:num>
  <w:num w:numId="25">
    <w:abstractNumId w:val="12"/>
  </w:num>
  <w:num w:numId="26">
    <w:abstractNumId w:val="11"/>
  </w:num>
  <w:num w:numId="27">
    <w:abstractNumId w:val="28"/>
  </w:num>
  <w:num w:numId="28">
    <w:abstractNumId w:val="19"/>
  </w:num>
  <w:num w:numId="29">
    <w:abstractNumId w:val="29"/>
  </w:num>
  <w:num w:numId="30">
    <w:abstractNumId w:val="2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10"/>
    <w:rsid w:val="000E5C86"/>
    <w:rsid w:val="00135180"/>
    <w:rsid w:val="001D2AF9"/>
    <w:rsid w:val="001F1A76"/>
    <w:rsid w:val="002560E6"/>
    <w:rsid w:val="002B750C"/>
    <w:rsid w:val="0032518C"/>
    <w:rsid w:val="00370891"/>
    <w:rsid w:val="004A63CE"/>
    <w:rsid w:val="004F7010"/>
    <w:rsid w:val="006C0038"/>
    <w:rsid w:val="00733140"/>
    <w:rsid w:val="00771A98"/>
    <w:rsid w:val="008C5BE7"/>
    <w:rsid w:val="00A166D4"/>
    <w:rsid w:val="00C422B2"/>
    <w:rsid w:val="00CA6F8A"/>
    <w:rsid w:val="00DC34A5"/>
    <w:rsid w:val="00DE3AD2"/>
    <w:rsid w:val="00ED4A4F"/>
    <w:rsid w:val="00EF1E7D"/>
    <w:rsid w:val="00F0378E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BA"/>
    <w:rPr>
      <w:rFonts w:ascii="Times New Roman" w:eastAsia="Times New Roman" w:hAnsi="Times New Roman" w:cs="Arial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82848"/>
    <w:pPr>
      <w:spacing w:beforeAutospacing="1" w:afterAutospacing="1"/>
      <w:outlineLvl w:val="0"/>
    </w:pPr>
    <w:rPr>
      <w:rFonts w:cs="Times New Roman"/>
      <w:b/>
      <w:bCs/>
      <w:kern w:val="2"/>
      <w:sz w:val="48"/>
      <w:szCs w:val="48"/>
      <w:lang w:val="sr-Latn-RS" w:eastAsia="sr-Latn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752E2"/>
  </w:style>
  <w:style w:type="character" w:customStyle="1" w:styleId="FooterChar">
    <w:name w:val="Footer Char"/>
    <w:basedOn w:val="DefaultParagraphFont"/>
    <w:link w:val="Footer"/>
    <w:uiPriority w:val="99"/>
    <w:qFormat/>
    <w:rsid w:val="001752E2"/>
  </w:style>
  <w:style w:type="character" w:customStyle="1" w:styleId="BalloonTextChar">
    <w:name w:val="Balloon Text Char"/>
    <w:link w:val="BalloonText"/>
    <w:uiPriority w:val="99"/>
    <w:semiHidden/>
    <w:qFormat/>
    <w:rsid w:val="001752E2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qFormat/>
    <w:rsid w:val="00EB561A"/>
    <w:rPr>
      <w:rFonts w:ascii="Chianti Win95BT" w:eastAsia="Times New Roman" w:hAnsi="Chianti Win95BT" w:cs="Times New Roman"/>
      <w:b/>
      <w:i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82848"/>
    <w:rPr>
      <w:rFonts w:ascii="Times New Roman" w:eastAsia="Times New Roman" w:hAnsi="Times New Roman"/>
      <w:b/>
      <w:bCs/>
      <w:kern w:val="2"/>
      <w:sz w:val="48"/>
      <w:szCs w:val="48"/>
      <w:lang w:val="sr-Latn-RS" w:eastAsia="sr-Latn-RS"/>
    </w:rPr>
  </w:style>
  <w:style w:type="character" w:customStyle="1" w:styleId="naslovpropisa1">
    <w:name w:val="naslovpropisa1"/>
    <w:basedOn w:val="DefaultParagraphFont"/>
    <w:qFormat/>
    <w:rsid w:val="00382848"/>
  </w:style>
  <w:style w:type="character" w:customStyle="1" w:styleId="naslovpropisa1a">
    <w:name w:val="naslovpropisa1a"/>
    <w:basedOn w:val="DefaultParagraphFont"/>
    <w:qFormat/>
    <w:rsid w:val="00382848"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3958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A6B1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A6B16"/>
    <w:rPr>
      <w:rFonts w:ascii="Times New Roman" w:eastAsia="Times New Roman" w:hAnsi="Times New Roman" w:cs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A6B16"/>
    <w:rPr>
      <w:rFonts w:ascii="Times New Roman" w:eastAsia="Times New Roman" w:hAnsi="Times New Roman" w:cs="Arial"/>
      <w:b/>
      <w:bCs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ind w:right="4393"/>
      <w:jc w:val="center"/>
    </w:pPr>
    <w:rPr>
      <w:rFonts w:ascii="Chianti Win95BT" w:hAnsi="Chianti Win95BT" w:cs="Times New Roman"/>
      <w:b/>
      <w:i/>
      <w:sz w:val="28"/>
    </w:rPr>
  </w:style>
  <w:style w:type="paragraph" w:styleId="ListParagraph">
    <w:name w:val="List Paragraph"/>
    <w:basedOn w:val="Normal"/>
    <w:uiPriority w:val="34"/>
    <w:qFormat/>
    <w:rsid w:val="00472D5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A6B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A6B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BA"/>
    <w:rPr>
      <w:rFonts w:ascii="Times New Roman" w:eastAsia="Times New Roman" w:hAnsi="Times New Roman" w:cs="Arial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82848"/>
    <w:pPr>
      <w:spacing w:beforeAutospacing="1" w:afterAutospacing="1"/>
      <w:outlineLvl w:val="0"/>
    </w:pPr>
    <w:rPr>
      <w:rFonts w:cs="Times New Roman"/>
      <w:b/>
      <w:bCs/>
      <w:kern w:val="2"/>
      <w:sz w:val="48"/>
      <w:szCs w:val="48"/>
      <w:lang w:val="sr-Latn-RS" w:eastAsia="sr-Latn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752E2"/>
  </w:style>
  <w:style w:type="character" w:customStyle="1" w:styleId="FooterChar">
    <w:name w:val="Footer Char"/>
    <w:basedOn w:val="DefaultParagraphFont"/>
    <w:link w:val="Footer"/>
    <w:uiPriority w:val="99"/>
    <w:qFormat/>
    <w:rsid w:val="001752E2"/>
  </w:style>
  <w:style w:type="character" w:customStyle="1" w:styleId="BalloonTextChar">
    <w:name w:val="Balloon Text Char"/>
    <w:link w:val="BalloonText"/>
    <w:uiPriority w:val="99"/>
    <w:semiHidden/>
    <w:qFormat/>
    <w:rsid w:val="001752E2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qFormat/>
    <w:rsid w:val="00EB561A"/>
    <w:rPr>
      <w:rFonts w:ascii="Chianti Win95BT" w:eastAsia="Times New Roman" w:hAnsi="Chianti Win95BT" w:cs="Times New Roman"/>
      <w:b/>
      <w:i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82848"/>
    <w:rPr>
      <w:rFonts w:ascii="Times New Roman" w:eastAsia="Times New Roman" w:hAnsi="Times New Roman"/>
      <w:b/>
      <w:bCs/>
      <w:kern w:val="2"/>
      <w:sz w:val="48"/>
      <w:szCs w:val="48"/>
      <w:lang w:val="sr-Latn-RS" w:eastAsia="sr-Latn-RS"/>
    </w:rPr>
  </w:style>
  <w:style w:type="character" w:customStyle="1" w:styleId="naslovpropisa1">
    <w:name w:val="naslovpropisa1"/>
    <w:basedOn w:val="DefaultParagraphFont"/>
    <w:qFormat/>
    <w:rsid w:val="00382848"/>
  </w:style>
  <w:style w:type="character" w:customStyle="1" w:styleId="naslovpropisa1a">
    <w:name w:val="naslovpropisa1a"/>
    <w:basedOn w:val="DefaultParagraphFont"/>
    <w:qFormat/>
    <w:rsid w:val="00382848"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3958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A6B1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A6B16"/>
    <w:rPr>
      <w:rFonts w:ascii="Times New Roman" w:eastAsia="Times New Roman" w:hAnsi="Times New Roman" w:cs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A6B16"/>
    <w:rPr>
      <w:rFonts w:ascii="Times New Roman" w:eastAsia="Times New Roman" w:hAnsi="Times New Roman" w:cs="Arial"/>
      <w:b/>
      <w:bCs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ind w:right="4393"/>
      <w:jc w:val="center"/>
    </w:pPr>
    <w:rPr>
      <w:rFonts w:ascii="Chianti Win95BT" w:hAnsi="Chianti Win95BT" w:cs="Times New Roman"/>
      <w:b/>
      <w:i/>
      <w:sz w:val="28"/>
    </w:rPr>
  </w:style>
  <w:style w:type="paragraph" w:styleId="ListParagraph">
    <w:name w:val="List Paragraph"/>
    <w:basedOn w:val="Normal"/>
    <w:uiPriority w:val="34"/>
    <w:qFormat/>
    <w:rsid w:val="00472D5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A6B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A6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B821-3E32-48D4-9C7A-F9FC09E4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12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dc:description/>
  <cp:lastModifiedBy>Stoja Oljaca</cp:lastModifiedBy>
  <cp:revision>76</cp:revision>
  <cp:lastPrinted>2021-05-14T05:39:00Z</cp:lastPrinted>
  <dcterms:created xsi:type="dcterms:W3CDTF">2021-04-13T09:06:00Z</dcterms:created>
  <dcterms:modified xsi:type="dcterms:W3CDTF">2021-10-26T10:36:00Z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